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drawing>
          <wp:inline xmlns:a="http://schemas.openxmlformats.org/drawingml/2006/main" xmlns:pic="http://schemas.openxmlformats.org/drawingml/2006/picture">
            <wp:extent cx="2834640" cy="1072566"/>
            <wp:docPr id="1" name="Picture 1"/>
            <wp:cNvGraphicFramePr>
              <a:graphicFrameLocks noChangeAspect="1"/>
            </wp:cNvGraphicFramePr>
            <a:graphic>
              <a:graphicData uri="http://schemas.openxmlformats.org/drawingml/2006/picture">
                <pic:pic>
                  <pic:nvPicPr>
                    <pic:cNvPr id="0" name="logo_full.png"/>
                    <pic:cNvPicPr/>
                  </pic:nvPicPr>
                  <pic:blipFill>
                    <a:blip r:embed="rId9"/>
                    <a:stretch>
                      <a:fillRect/>
                    </a:stretch>
                  </pic:blipFill>
                  <pic:spPr>
                    <a:xfrm>
                      <a:off x="0" y="0"/>
                      <a:ext cx="2834640" cy="1072566"/>
                    </a:xfrm>
                    <a:prstGeom prst="rect"/>
                  </pic:spPr>
                </pic:pic>
              </a:graphicData>
            </a:graphic>
          </wp:inline>
        </w:drawing>
      </w:r>
    </w:p>
    <w:p>
      <w:pPr>
        <w:spacing w:before="2400" w:after="0"/>
      </w:pPr>
    </w:p>
    <w:p>
      <w:pPr>
        <w:spacing w:after="200"/>
      </w:pPr>
      <w:r>
        <w:rPr>
          <w:rFonts w:ascii="Arial" w:hAnsi="Arial" w:cs="Arial" w:eastAsia="Arial"/>
          <w:b/>
          <w:color w:val="A93632"/>
          <w:sz w:val="20"/>
        </w:rPr>
        <w:t>COMPLETED EXAMPLE  |  FICTIONAL SCENARIO</w:t>
      </w:r>
    </w:p>
    <w:p>
      <w:pPr>
        <w:spacing w:after="0" w:line="252" w:lineRule="auto"/>
      </w:pPr>
      <w:r>
        <w:rPr>
          <w:rFonts w:ascii="Arial" w:hAnsi="Arial" w:cs="Arial" w:eastAsia="Arial"/>
          <w:b/>
          <w:color w:val="192E43"/>
          <w:sz w:val="56"/>
        </w:rPr>
        <w:t>Annual Intergovernmental</w:t>
      </w:r>
    </w:p>
    <w:p>
      <w:pPr>
        <w:spacing w:after="0" w:line="252" w:lineRule="auto"/>
      </w:pPr>
      <w:r>
        <w:rPr>
          <w:rFonts w:ascii="Arial" w:hAnsi="Arial" w:cs="Arial" w:eastAsia="Arial"/>
          <w:b/>
          <w:color w:val="192E43"/>
          <w:sz w:val="56"/>
        </w:rPr>
        <w:t>Affairs Strategic Plan</w:t>
      </w:r>
    </w:p>
    <w:p>
      <w:pPr>
        <w:pBdr>
          <w:bottom w:val="single" w:sz="18" w:space="8" w:color="A93632"/>
        </w:pBdr>
        <w:spacing w:before="160" w:after="200"/>
        <w:ind w:right="6624"/>
      </w:pPr>
    </w:p>
    <w:p>
      <w:pPr>
        <w:spacing w:after="0"/>
      </w:pPr>
      <w:r>
        <w:rPr>
          <w:rFonts w:ascii="Arial" w:hAnsi="Arial" w:cs="Arial" w:eastAsia="Arial"/>
          <w:color w:val="52606D"/>
          <w:sz w:val="28"/>
        </w:rPr>
        <w:t>Eastbrook County, Office of Intergovernmental Affairs. Plan year 2027.</w:t>
      </w:r>
    </w:p>
    <w:p>
      <w:pPr>
        <w:spacing w:before="3000" w:after="0"/>
      </w:pPr>
    </w:p>
    <w:p>
      <w:pPr>
        <w:spacing w:after="40"/>
      </w:pPr>
      <w:r>
        <w:rPr>
          <w:rFonts w:ascii="Arial" w:hAnsi="Arial" w:cs="Arial" w:eastAsia="Arial"/>
          <w:color w:val="52606D"/>
          <w:sz w:val="18"/>
        </w:rPr>
        <w:t>Intergov Association Professional Resource Library</w:t>
      </w:r>
    </w:p>
    <w:p>
      <w:pPr>
        <w:spacing w:after="40"/>
      </w:pPr>
      <w:r>
        <w:rPr>
          <w:rFonts w:ascii="Arial" w:hAnsi="Arial" w:cs="Arial" w:eastAsia="Arial"/>
          <w:color w:val="52606D"/>
          <w:sz w:val="18"/>
        </w:rPr>
        <w:t>Strategic Planning and Management</w:t>
      </w:r>
    </w:p>
    <w:p>
      <w:pPr>
        <w:spacing w:after="40"/>
      </w:pPr>
      <w:r>
        <w:rPr>
          <w:rFonts w:ascii="Arial" w:hAnsi="Arial" w:cs="Arial" w:eastAsia="Arial"/>
          <w:color w:val="52606D"/>
          <w:sz w:val="18"/>
        </w:rPr>
        <w:t>Version 1.0 | October 2026</w:t>
      </w:r>
    </w:p>
    <w:p>
      <w:pPr>
        <w:spacing w:after="0"/>
      </w:pPr>
      <w:r>
        <w:br w:type="page"/>
      </w:r>
    </w:p>
    <w:p>
      <w:pPr>
        <w:pStyle w:val="Heading1"/>
      </w:pPr>
      <w:r>
        <w:t>About This Example and Plan Control</w:t>
      </w:r>
    </w:p>
    <w:p>
      <w:pPr>
        <w:pStyle w:val="IGSmall"/>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Fictional scenario.  </w:t>
      </w:r>
      <w:r>
        <w:rPr>
          <w:rFonts w:ascii="Arial" w:hAnsi="Arial" w:cs="Arial" w:eastAsia="Arial"/>
          <w:color w:val="52606D"/>
          <w:sz w:val="17"/>
        </w:rPr>
        <w:t>Eastbrook County, the State of Marlow, Riverton City, Harlan County, the River Valley Transit Authority, the Three Fords Tribal Nation, the Calloway River Bridge, all bills, officials, and figures are invented for this example. Nothing here describes a real government, person, law, or program, and no real Tribal Nation is represented. The plan is shown as of April 8, 2027, after the first quarterly review. It matches the Completed Example Tracker record for record.</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448"/>
        <w:gridCol w:w="7200"/>
      </w:tblGrid>
      <w:tr>
        <w:trPr>
          <w:cantSplit w:val="true"/>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Organization</w:t>
            </w:r>
          </w:p>
        </w:tc>
        <w:tc>
          <w:tcPr>
            <w:tcW w:type="dxa" w:w="7200"/>
            <w:tcMar>
              <w:top w:w="55" w:type="dxa"/>
              <w:left w:w="90" w:type="dxa"/>
              <w:bottom w:w="55" w:type="dxa"/>
              <w:right w:w="80" w:type="dxa"/>
            </w:tcMar>
          </w:tcPr>
          <w:p>
            <w:pPr>
              <w:pStyle w:val="IGCell"/>
              <w:spacing w:after="0"/>
            </w:pPr>
            <w:r>
              <w:rPr>
                <w:rFonts w:ascii="Arial" w:hAnsi="Arial" w:cs="Arial" w:eastAsia="Arial"/>
                <w:color w:val="192E43"/>
                <w:sz w:val="18"/>
              </w:rPr>
              <w:t>Eastbrook County</w:t>
            </w:r>
          </w:p>
        </w:tc>
      </w:tr>
      <w:tr>
        <w:trPr>
          <w:cantSplit w:val="true"/>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Office</w:t>
            </w:r>
          </w:p>
        </w:tc>
        <w:tc>
          <w:tcPr>
            <w:tcW w:type="dxa" w:w="7200"/>
            <w:tcMar>
              <w:top w:w="55" w:type="dxa"/>
              <w:left w:w="90" w:type="dxa"/>
              <w:bottom w:w="55" w:type="dxa"/>
              <w:right w:w="80" w:type="dxa"/>
            </w:tcMar>
          </w:tcPr>
          <w:p>
            <w:pPr>
              <w:pStyle w:val="IGCell"/>
              <w:spacing w:after="0"/>
            </w:pPr>
            <w:r>
              <w:rPr>
                <w:rFonts w:ascii="Arial" w:hAnsi="Arial" w:cs="Arial" w:eastAsia="Arial"/>
                <w:color w:val="192E43"/>
                <w:sz w:val="18"/>
              </w:rPr>
              <w:t>Office of Intergovernmental Affairs</w:t>
            </w:r>
          </w:p>
        </w:tc>
      </w:tr>
      <w:tr>
        <w:trPr>
          <w:cantSplit w:val="true"/>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Plan year</w:t>
            </w:r>
          </w:p>
        </w:tc>
        <w:tc>
          <w:tcPr>
            <w:tcW w:type="dxa" w:w="7200"/>
            <w:tcMar>
              <w:top w:w="55" w:type="dxa"/>
              <w:left w:w="90" w:type="dxa"/>
              <w:bottom w:w="55" w:type="dxa"/>
              <w:right w:w="80" w:type="dxa"/>
            </w:tcMar>
          </w:tcPr>
          <w:p>
            <w:pPr>
              <w:pStyle w:val="IGCell"/>
              <w:spacing w:after="0"/>
            </w:pPr>
            <w:r>
              <w:rPr>
                <w:rFonts w:ascii="Arial" w:hAnsi="Arial" w:cs="Arial" w:eastAsia="Arial"/>
                <w:color w:val="192E43"/>
                <w:sz w:val="18"/>
              </w:rPr>
              <w:t>Calendar year 2027</w:t>
            </w:r>
          </w:p>
        </w:tc>
      </w:tr>
      <w:tr>
        <w:trPr>
          <w:cantSplit w:val="true"/>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Plan owner</w:t>
            </w:r>
          </w:p>
        </w:tc>
        <w:tc>
          <w:tcPr>
            <w:tcW w:type="dxa" w:w="7200"/>
            <w:tcMar>
              <w:top w:w="55" w:type="dxa"/>
              <w:left w:w="90" w:type="dxa"/>
              <w:bottom w:w="55" w:type="dxa"/>
              <w:right w:w="80" w:type="dxa"/>
            </w:tcMar>
          </w:tcPr>
          <w:p>
            <w:pPr>
              <w:pStyle w:val="IGCell"/>
              <w:spacing w:after="0"/>
            </w:pPr>
            <w:r>
              <w:rPr>
                <w:rFonts w:ascii="Arial" w:hAnsi="Arial" w:cs="Arial" w:eastAsia="Arial"/>
                <w:color w:val="192E43"/>
                <w:sz w:val="18"/>
              </w:rPr>
              <w:t>Elena Marsh, Director</w:t>
            </w:r>
          </w:p>
        </w:tc>
      </w:tr>
      <w:tr>
        <w:trPr>
          <w:cantSplit w:val="true"/>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Executive sponsor</w:t>
            </w:r>
          </w:p>
        </w:tc>
        <w:tc>
          <w:tcPr>
            <w:tcW w:type="dxa" w:w="7200"/>
            <w:tcMar>
              <w:top w:w="55" w:type="dxa"/>
              <w:left w:w="90" w:type="dxa"/>
              <w:bottom w:w="55" w:type="dxa"/>
              <w:right w:w="80" w:type="dxa"/>
            </w:tcMar>
          </w:tcPr>
          <w:p>
            <w:pPr>
              <w:pStyle w:val="IGCell"/>
              <w:spacing w:after="0"/>
            </w:pPr>
            <w:r>
              <w:rPr>
                <w:rFonts w:ascii="Arial" w:hAnsi="Arial" w:cs="Arial" w:eastAsia="Arial"/>
                <w:color w:val="192E43"/>
                <w:sz w:val="18"/>
              </w:rPr>
              <w:t>Priya Raman, Deputy County Executive</w:t>
            </w:r>
          </w:p>
        </w:tc>
      </w:tr>
      <w:tr>
        <w:trPr>
          <w:cantSplit w:val="true"/>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Approved by</w:t>
            </w:r>
          </w:p>
        </w:tc>
        <w:tc>
          <w:tcPr>
            <w:tcW w:type="dxa" w:w="7200"/>
            <w:tcMar>
              <w:top w:w="55" w:type="dxa"/>
              <w:left w:w="90" w:type="dxa"/>
              <w:bottom w:w="55" w:type="dxa"/>
              <w:right w:w="80" w:type="dxa"/>
            </w:tcMar>
          </w:tcPr>
          <w:p>
            <w:pPr>
              <w:pStyle w:val="IGCell"/>
              <w:spacing w:after="0"/>
            </w:pPr>
            <w:r>
              <w:rPr>
                <w:rFonts w:ascii="Arial" w:hAnsi="Arial" w:cs="Arial" w:eastAsia="Arial"/>
                <w:color w:val="192E43"/>
                <w:sz w:val="18"/>
              </w:rPr>
              <w:t>Thomas Alder, County Executive, December 14, 2026</w:t>
            </w:r>
          </w:p>
        </w:tc>
      </w:tr>
      <w:tr>
        <w:trPr>
          <w:cantSplit w:val="true"/>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Version and status</w:t>
            </w:r>
          </w:p>
        </w:tc>
        <w:tc>
          <w:tcPr>
            <w:tcW w:type="dxa" w:w="7200"/>
            <w:tcMar>
              <w:top w:w="55" w:type="dxa"/>
              <w:left w:w="90" w:type="dxa"/>
              <w:bottom w:w="55" w:type="dxa"/>
              <w:right w:w="80" w:type="dxa"/>
            </w:tcMar>
          </w:tcPr>
          <w:p>
            <w:pPr>
              <w:pStyle w:val="IGCell"/>
              <w:spacing w:after="0"/>
            </w:pPr>
            <w:r>
              <w:rPr>
                <w:rFonts w:ascii="Arial" w:hAnsi="Arial" w:cs="Arial" w:eastAsia="Arial"/>
                <w:color w:val="192E43"/>
                <w:sz w:val="18"/>
              </w:rPr>
              <w:t>Adopted December 14, 2026. Revised April 8, 2027 after the Q1 review.</w:t>
            </w:r>
          </w:p>
        </w:tc>
      </w:tr>
      <w:tr>
        <w:trPr>
          <w:cantSplit w:val="true"/>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Next scheduled review</w:t>
            </w:r>
          </w:p>
        </w:tc>
        <w:tc>
          <w:tcPr>
            <w:tcW w:type="dxa" w:w="7200"/>
            <w:tcMar>
              <w:top w:w="55" w:type="dxa"/>
              <w:left w:w="90" w:type="dxa"/>
              <w:bottom w:w="55" w:type="dxa"/>
              <w:right w:w="80" w:type="dxa"/>
            </w:tcMar>
          </w:tcPr>
          <w:p>
            <w:pPr>
              <w:pStyle w:val="IGCell"/>
              <w:spacing w:after="0"/>
            </w:pPr>
            <w:r>
              <w:rPr>
                <w:rFonts w:ascii="Arial" w:hAnsi="Arial" w:cs="Arial" w:eastAsia="Arial"/>
                <w:color w:val="192E43"/>
                <w:sz w:val="18"/>
              </w:rPr>
              <w:t>Q2 review, July 2027. Mid-year adjustment decision with the County Executive by July 22, 2027.</w:t>
            </w:r>
          </w:p>
        </w:tc>
      </w:tr>
    </w:tbl>
    <w:p>
      <w:pPr>
        <w:spacing w:after="80" w:line="144" w:lineRule="auto"/>
      </w:pPr>
    </w:p>
    <w:p>
      <w:pPr>
        <w:pStyle w:val="Heading2"/>
      </w:pPr>
      <w:r>
        <w:t>How the plan and the tracker divide the work</w:t>
      </w:r>
    </w:p>
    <w:p>
      <w:r>
        <w:rPr>
          <w:rFonts w:ascii="Arial" w:hAnsi="Arial" w:cs="Arial" w:eastAsia="Arial"/>
          <w:sz w:val="19"/>
        </w:rPr>
        <w:t>The plan holds executive summaries and the decisions leadership approves. The tracker holds the full registers. Identifiers are the same in both: use the identifier in the plan and in the matching tracker record.</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3024"/>
        <w:gridCol w:w="2160"/>
        <w:gridCol w:w="4464"/>
      </w:tblGrid>
      <w:tr>
        <w:trPr>
          <w:tblHeader w:val="true"/>
          <w:cantSplit w:val="true"/>
        </w:trPr>
        <w:tc>
          <w:tcPr>
            <w:tcW w:type="dxa" w:w="3024"/>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Plan section</w:t>
            </w:r>
          </w:p>
        </w:tc>
        <w:tc>
          <w:tcPr>
            <w:tcW w:type="dxa" w:w="2160"/>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Tracker worksheet</w:t>
            </w:r>
          </w:p>
        </w:tc>
        <w:tc>
          <w:tcPr>
            <w:tcW w:type="dxa" w:w="4464"/>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What stays in the tracker</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1 to 4. Context, scope, executive priorities, environment</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Instructions, Escalations</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Report date and plan-year settings. Decisions requested of leadership are logged as escalations.</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5. Strategic objectives</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Objectives</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Progress from milestones, overdue counts, open high risks.</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6. Priority relationships</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Relationships</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Contacts, health, cadence, last contact, and contact status.</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7. Legislative and administrative priorities</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Priorities</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Leads, stages, notes, and clearance flags.</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8. Engagement and coordination</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Actions</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The running log of engagement and its outcomes.</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9. Annual implementation plan</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Milestones</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Every milestone, dependency, revised date, and slip.</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10. Risks and escalation</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Risks, Escalations</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The full register, exposure ratings, review flags.</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11. Performance measures and reporting</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Dashboard</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Executive summary that calculates from every sheet.</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12. Quarterly review and adjustment</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Quarterly Review</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Prior-quarter comparison showing improved, declined, or unchanged.</w:t>
            </w:r>
          </w:p>
        </w:tc>
      </w:tr>
    </w:tbl>
    <w:p>
      <w:pPr>
        <w:spacing w:after="80" w:line="144" w:lineRule="auto"/>
      </w:pPr>
    </w:p>
    <w:p>
      <w:pPr>
        <w:pStyle w:val="Heading2"/>
      </w:pPr>
      <w:r>
        <w:t>Identifier conventions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728"/>
        <w:gridCol w:w="1440"/>
        <w:gridCol w:w="1728"/>
        <w:gridCol w:w="1440"/>
        <w:gridCol w:w="1728"/>
        <w:gridCol w:w="1584"/>
      </w:tblGrid>
      <w:tr>
        <w:trPr>
          <w:tblHeader w:val="true"/>
          <w:cantSplit w:val="true"/>
        </w:trPr>
        <w:tc>
          <w:tcPr>
            <w:tcW w:type="dxa" w:w="1728"/>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Record</w:t>
            </w:r>
          </w:p>
        </w:tc>
        <w:tc>
          <w:tcPr>
            <w:tcW w:type="dxa" w:w="1440"/>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Format</w:t>
            </w:r>
          </w:p>
        </w:tc>
        <w:tc>
          <w:tcPr>
            <w:tcW w:type="dxa" w:w="1728"/>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Record</w:t>
            </w:r>
          </w:p>
        </w:tc>
        <w:tc>
          <w:tcPr>
            <w:tcW w:type="dxa" w:w="1440"/>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Format</w:t>
            </w:r>
          </w:p>
        </w:tc>
        <w:tc>
          <w:tcPr>
            <w:tcW w:type="dxa" w:w="1728"/>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Record</w:t>
            </w:r>
          </w:p>
        </w:tc>
        <w:tc>
          <w:tcPr>
            <w:tcW w:type="dxa" w:w="1584"/>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Format</w:t>
            </w:r>
          </w:p>
        </w:tc>
      </w:tr>
      <w:tr>
        <w:trPr>
          <w:cantSplit w:val="true"/>
        </w:trPr>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Executive priority</w:t>
            </w:r>
          </w:p>
        </w:tc>
        <w:tc>
          <w:tcPr>
            <w:tcW w:type="dxa" w:w="1440"/>
            <w:tcMar>
              <w:top w:w="45" w:type="dxa"/>
              <w:left w:w="80" w:type="dxa"/>
              <w:bottom w:w="45" w:type="dxa"/>
              <w:right w:w="60" w:type="dxa"/>
            </w:tcMar>
          </w:tcPr>
          <w:p>
            <w:pPr>
              <w:pStyle w:val="IGCell"/>
              <w:spacing w:after="0"/>
            </w:pPr>
            <w:r>
              <w:rPr>
                <w:rFonts w:ascii="Arial" w:hAnsi="Arial" w:cs="Arial" w:eastAsia="Arial"/>
                <w:color w:val="192E43"/>
                <w:sz w:val="17"/>
              </w:rPr>
              <w:t>EP-1</w:t>
            </w:r>
          </w:p>
        </w:tc>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Legislative item</w:t>
            </w:r>
          </w:p>
        </w:tc>
        <w:tc>
          <w:tcPr>
            <w:tcW w:type="dxa" w:w="1440"/>
            <w:tcMar>
              <w:top w:w="45" w:type="dxa"/>
              <w:left w:w="80" w:type="dxa"/>
              <w:bottom w:w="45" w:type="dxa"/>
              <w:right w:w="60" w:type="dxa"/>
            </w:tcMar>
          </w:tcPr>
          <w:p>
            <w:pPr>
              <w:pStyle w:val="IGCell"/>
              <w:spacing w:after="0"/>
            </w:pPr>
            <w:r>
              <w:rPr>
                <w:rFonts w:ascii="Arial" w:hAnsi="Arial" w:cs="Arial" w:eastAsia="Arial"/>
                <w:color w:val="192E43"/>
                <w:sz w:val="17"/>
              </w:rPr>
              <w:t>LEG-01</w:t>
            </w:r>
          </w:p>
        </w:tc>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Risk</w:t>
            </w:r>
          </w:p>
        </w:tc>
        <w:tc>
          <w:tcPr>
            <w:tcW w:type="dxa" w:w="1584"/>
            <w:tcMar>
              <w:top w:w="45" w:type="dxa"/>
              <w:left w:w="80" w:type="dxa"/>
              <w:bottom w:w="45" w:type="dxa"/>
              <w:right w:w="60" w:type="dxa"/>
            </w:tcMar>
          </w:tcPr>
          <w:p>
            <w:pPr>
              <w:pStyle w:val="IGCell"/>
              <w:spacing w:after="0"/>
            </w:pPr>
            <w:r>
              <w:rPr>
                <w:rFonts w:ascii="Arial" w:hAnsi="Arial" w:cs="Arial" w:eastAsia="Arial"/>
                <w:color w:val="192E43"/>
                <w:sz w:val="17"/>
              </w:rPr>
              <w:t>RSK-01</w:t>
            </w:r>
          </w:p>
        </w:tc>
      </w:tr>
      <w:tr>
        <w:trPr>
          <w:cantSplit w:val="true"/>
        </w:trPr>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Objective</w:t>
            </w:r>
          </w:p>
        </w:tc>
        <w:tc>
          <w:tcPr>
            <w:tcW w:type="dxa" w:w="1440"/>
            <w:tcMar>
              <w:top w:w="45" w:type="dxa"/>
              <w:left w:w="80" w:type="dxa"/>
              <w:bottom w:w="45" w:type="dxa"/>
              <w:right w:w="60" w:type="dxa"/>
            </w:tcMar>
          </w:tcPr>
          <w:p>
            <w:pPr>
              <w:pStyle w:val="IGCell"/>
              <w:spacing w:after="0"/>
            </w:pPr>
            <w:r>
              <w:rPr>
                <w:rFonts w:ascii="Arial" w:hAnsi="Arial" w:cs="Arial" w:eastAsia="Arial"/>
                <w:color w:val="192E43"/>
                <w:sz w:val="17"/>
              </w:rPr>
              <w:t>OBJ-1</w:t>
            </w:r>
          </w:p>
        </w:tc>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Administrative item</w:t>
            </w:r>
          </w:p>
        </w:tc>
        <w:tc>
          <w:tcPr>
            <w:tcW w:type="dxa" w:w="1440"/>
            <w:tcMar>
              <w:top w:w="45" w:type="dxa"/>
              <w:left w:w="80" w:type="dxa"/>
              <w:bottom w:w="45" w:type="dxa"/>
              <w:right w:w="60" w:type="dxa"/>
            </w:tcMar>
          </w:tcPr>
          <w:p>
            <w:pPr>
              <w:pStyle w:val="IGCell"/>
              <w:spacing w:after="0"/>
            </w:pPr>
            <w:r>
              <w:rPr>
                <w:rFonts w:ascii="Arial" w:hAnsi="Arial" w:cs="Arial" w:eastAsia="Arial"/>
                <w:color w:val="192E43"/>
                <w:sz w:val="17"/>
              </w:rPr>
              <w:t>ADM-01</w:t>
            </w:r>
          </w:p>
        </w:tc>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Escalation</w:t>
            </w:r>
          </w:p>
        </w:tc>
        <w:tc>
          <w:tcPr>
            <w:tcW w:type="dxa" w:w="1584"/>
            <w:tcMar>
              <w:top w:w="45" w:type="dxa"/>
              <w:left w:w="80" w:type="dxa"/>
              <w:bottom w:w="45" w:type="dxa"/>
              <w:right w:w="60" w:type="dxa"/>
            </w:tcMar>
          </w:tcPr>
          <w:p>
            <w:pPr>
              <w:pStyle w:val="IGCell"/>
              <w:spacing w:after="0"/>
            </w:pPr>
            <w:r>
              <w:rPr>
                <w:rFonts w:ascii="Arial" w:hAnsi="Arial" w:cs="Arial" w:eastAsia="Arial"/>
                <w:color w:val="192E43"/>
                <w:sz w:val="17"/>
              </w:rPr>
              <w:t>ESC-01</w:t>
            </w:r>
          </w:p>
        </w:tc>
      </w:tr>
      <w:tr>
        <w:trPr>
          <w:cantSplit w:val="true"/>
        </w:trPr>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Relationship</w:t>
            </w:r>
          </w:p>
        </w:tc>
        <w:tc>
          <w:tcPr>
            <w:tcW w:type="dxa" w:w="1440"/>
            <w:tcMar>
              <w:top w:w="45" w:type="dxa"/>
              <w:left w:w="80" w:type="dxa"/>
              <w:bottom w:w="45" w:type="dxa"/>
              <w:right w:w="60" w:type="dxa"/>
            </w:tcMar>
          </w:tcPr>
          <w:p>
            <w:pPr>
              <w:pStyle w:val="IGCell"/>
              <w:spacing w:after="0"/>
            </w:pPr>
            <w:r>
              <w:rPr>
                <w:rFonts w:ascii="Arial" w:hAnsi="Arial" w:cs="Arial" w:eastAsia="Arial"/>
                <w:color w:val="192E43"/>
                <w:sz w:val="17"/>
              </w:rPr>
              <w:t>REL-01</w:t>
            </w:r>
          </w:p>
        </w:tc>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Milestone</w:t>
            </w:r>
          </w:p>
        </w:tc>
        <w:tc>
          <w:tcPr>
            <w:tcW w:type="dxa" w:w="1440"/>
            <w:tcMar>
              <w:top w:w="45" w:type="dxa"/>
              <w:left w:w="80" w:type="dxa"/>
              <w:bottom w:w="45" w:type="dxa"/>
              <w:right w:w="60" w:type="dxa"/>
            </w:tcMar>
          </w:tcPr>
          <w:p>
            <w:pPr>
              <w:pStyle w:val="IGCell"/>
              <w:spacing w:after="0"/>
            </w:pPr>
            <w:r>
              <w:rPr>
                <w:rFonts w:ascii="Arial" w:hAnsi="Arial" w:cs="Arial" w:eastAsia="Arial"/>
                <w:color w:val="192E43"/>
                <w:sz w:val="17"/>
              </w:rPr>
              <w:t>MS-001</w:t>
            </w:r>
          </w:p>
        </w:tc>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Action</w:t>
            </w:r>
          </w:p>
        </w:tc>
        <w:tc>
          <w:tcPr>
            <w:tcW w:type="dxa" w:w="1584"/>
            <w:tcMar>
              <w:top w:w="45" w:type="dxa"/>
              <w:left w:w="80" w:type="dxa"/>
              <w:bottom w:w="45" w:type="dxa"/>
              <w:right w:w="60" w:type="dxa"/>
            </w:tcMar>
          </w:tcPr>
          <w:p>
            <w:pPr>
              <w:pStyle w:val="IGCell"/>
              <w:spacing w:after="0"/>
            </w:pPr>
            <w:r>
              <w:rPr>
                <w:rFonts w:ascii="Arial" w:hAnsi="Arial" w:cs="Arial" w:eastAsia="Arial"/>
                <w:color w:val="192E43"/>
                <w:sz w:val="17"/>
              </w:rPr>
              <w:t>ACT-001</w:t>
            </w:r>
          </w:p>
        </w:tc>
      </w:tr>
    </w:tbl>
    <w:p>
      <w:pPr>
        <w:spacing w:after="80" w:line="144" w:lineRule="auto"/>
      </w:pPr>
    </w:p>
    <w:p>
      <w:pPr>
        <w:pStyle w:val="Heading2"/>
      </w:pPr>
      <w:r>
        <w:t>How to read this example</w:t>
      </w:r>
    </w:p>
    <w:p>
      <w:pPr>
        <w:pStyle w:val="ListBullet"/>
        <w:keepNext/>
        <w:keepLines/>
        <w:spacing w:after="60"/>
      </w:pPr>
      <w:r>
        <w:rPr>
          <w:rFonts w:ascii="Arial" w:hAnsi="Arial" w:cs="Arial" w:eastAsia="Arial"/>
          <w:sz w:val="19"/>
        </w:rPr>
        <w:t>Practitioner notes in shaded boxes explain the reasoning behind choices. They are not part of the plan itself.</w:t>
      </w:r>
    </w:p>
    <w:p>
      <w:pPr>
        <w:pStyle w:val="ListBullet"/>
        <w:keepNext/>
        <w:keepLines/>
        <w:spacing w:after="60"/>
      </w:pPr>
      <w:r>
        <w:rPr>
          <w:rFonts w:ascii="Arial" w:hAnsi="Arial" w:cs="Arial" w:eastAsia="Arial"/>
          <w:sz w:val="19"/>
        </w:rPr>
        <w:t>Objectives, priorities, owners, dates, and milestones agree with the Completed Example Tracker. The tracker holds all 36 milestones, 16 relationships, 12 risks, and 49 logged actions. This plan shows what leadership needs.</w:t>
      </w:r>
    </w:p>
    <w:p>
      <w:pPr>
        <w:pStyle w:val="ListBullet"/>
        <w:keepLines/>
        <w:spacing w:after="60"/>
      </w:pPr>
      <w:r>
        <w:rPr>
          <w:rFonts w:ascii="Arial" w:hAnsi="Arial" w:cs="Arial" w:eastAsia="Arial"/>
          <w:sz w:val="19"/>
        </w:rPr>
        <w:t>Three objectives are At Risk or Off Track on purpose, so that sections 10 to 12 show how a plan records problems and adjustments.</w:t>
      </w:r>
    </w:p>
    <w:p>
      <w:pPr>
        <w:pStyle w:val="Heading1"/>
      </w:pPr>
      <w:r>
        <w:t>1. Strategic Context and Organizational Priorities</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Establishes why the plan exists, what leadership documents it answers to, and what resources the office has to carry it out.</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448"/>
        <w:gridCol w:w="7200"/>
      </w:tblGrid>
      <w:tr>
        <w:trPr>
          <w:cantSplit w:val="true"/>
          <w:trHeight w:val="1296" w:hRule="atLeast"/>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Mandate of the office</w:t>
            </w:r>
          </w:p>
        </w:tc>
        <w:tc>
          <w:tcPr>
            <w:tcW w:type="dxa" w:w="7200"/>
            <w:tcMar>
              <w:top w:w="55" w:type="dxa"/>
              <w:left w:w="90" w:type="dxa"/>
              <w:bottom w:w="55" w:type="dxa"/>
              <w:right w:w="80" w:type="dxa"/>
            </w:tcMar>
          </w:tcPr>
          <w:p>
            <w:pPr>
              <w:pStyle w:val="IGCell"/>
              <w:spacing w:after="0"/>
            </w:pPr>
            <w:r>
              <w:rPr>
                <w:rFonts w:ascii="Arial" w:hAnsi="Arial" w:cs="Arial" w:eastAsia="Arial"/>
                <w:color w:val="192E43"/>
                <w:sz w:val="18"/>
              </w:rPr>
              <w:t>The Office of Intergovernmental Affairs represents Eastbrook County before the Marlow General Assembly and state agencies, coordinates with federal funding and regulatory agencies, and manages standing relationships with neighboring governments, regional bodies, and the Three Fords Tribal Nation. It advises the County Executive and the Board of Commissioners on positions and clears County positions before they are communicated outside the County.</w:t>
            </w:r>
          </w:p>
        </w:tc>
      </w:tr>
      <w:tr>
        <w:trPr>
          <w:cantSplit w:val="true"/>
          <w:trHeight w:val="1440" w:hRule="atLeast"/>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What has changed since the last plan</w:t>
            </w:r>
          </w:p>
        </w:tc>
        <w:tc>
          <w:tcPr>
            <w:tcW w:type="dxa" w:w="7200"/>
            <w:tcMar>
              <w:top w:w="55" w:type="dxa"/>
              <w:left w:w="90" w:type="dxa"/>
              <w:bottom w:w="55" w:type="dxa"/>
              <w:right w:w="80" w:type="dxa"/>
            </w:tcMar>
          </w:tcPr>
          <w:p>
            <w:pPr>
              <w:pStyle w:val="IGCell"/>
              <w:spacing w:after="0"/>
            </w:pPr>
            <w:r>
              <w:rPr>
                <w:rFonts w:ascii="Arial" w:hAnsi="Arial" w:cs="Arial" w:eastAsia="Arial"/>
                <w:color w:val="192E43"/>
                <w:sz w:val="18"/>
              </w:rPr>
              <w:t>The Board adopted its 2027 legislative platform on December 8, 2026. The Calloway River Bridge is rated poor and the County has no identified source for its share of a replacement. The General Assembly is considering a bill to make local permitting and stormwater standards uniform statewide. A federal discretionary grant round for bridge replacement is expected in 2027. Deputy County Executive Priya Raman became executive sponsor for intergovernmental matters in October 2026.</w:t>
            </w:r>
          </w:p>
        </w:tc>
      </w:tr>
      <w:tr>
        <w:trPr>
          <w:cantSplit w:val="true"/>
          <w:trHeight w:val="1584" w:hRule="atLeast"/>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Plan in brief</w:t>
            </w:r>
          </w:p>
        </w:tc>
        <w:tc>
          <w:tcPr>
            <w:tcW w:type="dxa" w:w="7200"/>
            <w:tcMar>
              <w:top w:w="55" w:type="dxa"/>
              <w:left w:w="90" w:type="dxa"/>
              <w:bottom w:w="55" w:type="dxa"/>
              <w:right w:w="80" w:type="dxa"/>
            </w:tcMar>
          </w:tcPr>
          <w:p>
            <w:pPr>
              <w:pStyle w:val="IGCell"/>
              <w:spacing w:after="0"/>
            </w:pPr>
            <w:r>
              <w:rPr>
                <w:rFonts w:ascii="Arial" w:hAnsi="Arial" w:cs="Arial" w:eastAsia="Arial"/>
                <w:color w:val="192E43"/>
                <w:sz w:val="18"/>
              </w:rPr>
              <w:t>This plan commits the office to six objectives. Four serve the Board's priority to fund the Calloway River Bridge without a general property tax increase and to protect local standards: enabling authority for a local-option sales tax (SB 214), retention of local stormwater authority in HB 388, a competitive federal grant application, and an interlocal agreement with Riverton City and the River Valley Transit Authority. One builds a standing coordination process with the Three Fords Tribal Nation. One gives leadership a single position-clearance and reporting process. Success depends on SB 214 and on a State DOT match commitment, and the leadership decisions it needs are listed with dates in section 3.</w:t>
            </w:r>
          </w:p>
        </w:tc>
      </w:tr>
    </w:tbl>
    <w:p>
      <w:pPr>
        <w:spacing w:after="80" w:line="144" w:lineRule="auto"/>
      </w:pPr>
    </w:p>
    <w:p>
      <w:pPr>
        <w:pStyle w:val="Heading2"/>
      </w:pPr>
      <w:r>
        <w:t>1.1 Resource baseline</w:t>
      </w:r>
    </w:p>
    <w:tbl>
      <w:tblPr>
        <w:tblW w:w="9647"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4176"/>
        <w:gridCol w:w="3311"/>
      </w:tblGrid>
      <w:tr>
        <w:trPr>
          <w:tblHeader w:val="true"/>
          <w:cantSplit w:val="true"/>
        </w:trPr>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Resource</w:t>
            </w:r>
          </w:p>
        </w:tc>
        <w:tc>
          <w:tcPr>
            <w:tcW w:type="dxa" w:w="417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Current position</w:t>
            </w:r>
          </w:p>
        </w:tc>
        <w:tc>
          <w:tcPr>
            <w:tcW w:type="dxa" w:w="331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Constraint on this plan</w:t>
            </w:r>
          </w:p>
        </w:tc>
      </w:tr>
      <w:tr>
        <w:trPr>
          <w:cantSplit w:val="true"/>
        </w:trPr>
        <w:tc>
          <w:tcPr>
            <w:tcW w:type="dxa" w:w="216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Staff</w:t>
            </w:r>
          </w:p>
        </w:tc>
        <w:tc>
          <w:tcPr>
            <w:tcW w:type="dxa" w:w="4176"/>
            <w:tcMar>
              <w:top w:w="45" w:type="dxa"/>
              <w:left w:w="80" w:type="dxa"/>
              <w:bottom w:w="45" w:type="dxa"/>
              <w:right w:w="60" w:type="dxa"/>
            </w:tcMar>
            <w:vAlign w:val="top"/>
          </w:tcPr>
          <w:p>
            <w:pPr>
              <w:pStyle w:val="IGCell"/>
              <w:keepNext/>
              <w:spacing w:after="0"/>
            </w:pPr>
            <w:r>
              <w:rPr>
                <w:rFonts w:ascii="Arial" w:hAnsi="Arial" w:cs="Arial" w:eastAsia="Arial"/>
                <w:color w:val="192E43"/>
                <w:sz w:val="17"/>
              </w:rPr>
              <w:t>Four: Director, Senior Legislative Analyst, Federal Programs Liaison, Regional Coordination Manager</w:t>
            </w:r>
          </w:p>
        </w:tc>
        <w:tc>
          <w:tcPr>
            <w:tcW w:type="dxa" w:w="3312"/>
            <w:tcMar>
              <w:top w:w="45" w:type="dxa"/>
              <w:left w:w="80" w:type="dxa"/>
              <w:bottom w:w="45" w:type="dxa"/>
              <w:right w:w="60" w:type="dxa"/>
            </w:tcMar>
            <w:vAlign w:val="top"/>
          </w:tcPr>
          <w:p>
            <w:pPr>
              <w:pStyle w:val="IGCell"/>
              <w:keepNext/>
              <w:spacing w:after="0"/>
            </w:pPr>
            <w:r>
              <w:rPr>
                <w:rFonts w:ascii="Arial" w:hAnsi="Arial" w:cs="Arial" w:eastAsia="Arial"/>
                <w:color w:val="192E43"/>
                <w:sz w:val="17"/>
              </w:rPr>
              <w:t>A vacancy during session would require reassigning legislative coverage.</w:t>
            </w:r>
          </w:p>
        </w:tc>
      </w:tr>
      <w:tr>
        <w:trPr>
          <w:cantSplit w:val="true"/>
        </w:trPr>
        <w:tc>
          <w:tcPr>
            <w:tcW w:type="dxa" w:w="216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Budget</w:t>
            </w:r>
          </w:p>
        </w:tc>
        <w:tc>
          <w:tcPr>
            <w:tcW w:type="dxa" w:w="4176"/>
            <w:tcMar>
              <w:top w:w="45" w:type="dxa"/>
              <w:left w:w="80" w:type="dxa"/>
              <w:bottom w:w="45" w:type="dxa"/>
              <w:right w:w="60" w:type="dxa"/>
            </w:tcMar>
            <w:vAlign w:val="top"/>
          </w:tcPr>
          <w:p>
            <w:pPr>
              <w:pStyle w:val="IGCell"/>
              <w:keepNext/>
              <w:spacing w:after="0"/>
            </w:pPr>
            <w:r>
              <w:rPr>
                <w:rFonts w:ascii="Arial" w:hAnsi="Arial" w:cs="Arial" w:eastAsia="Arial"/>
                <w:color w:val="192E43"/>
                <w:sz w:val="17"/>
              </w:rPr>
              <w:t>Approved 2027 office budget. No contract lobbyist. Membership in the Marlow Association of Counties.</w:t>
            </w:r>
          </w:p>
        </w:tc>
        <w:tc>
          <w:tcPr>
            <w:tcW w:type="dxa" w:w="3312"/>
            <w:tcMar>
              <w:top w:w="45" w:type="dxa"/>
              <w:left w:w="80" w:type="dxa"/>
              <w:bottom w:w="45" w:type="dxa"/>
              <w:right w:w="60" w:type="dxa"/>
            </w:tcMar>
            <w:vAlign w:val="top"/>
          </w:tcPr>
          <w:p>
            <w:pPr>
              <w:pStyle w:val="IGCell"/>
              <w:keepNext/>
              <w:spacing w:after="0"/>
            </w:pPr>
            <w:r>
              <w:rPr>
                <w:rFonts w:ascii="Arial" w:hAnsi="Arial" w:cs="Arial" w:eastAsia="Arial"/>
                <w:color w:val="192E43"/>
                <w:sz w:val="17"/>
              </w:rPr>
              <w:t>No funds for outside representation. State-level coalition work runs through the Association.</w:t>
            </w:r>
          </w:p>
        </w:tc>
      </w:tr>
      <w:tr>
        <w:trPr>
          <w:cantSplit w:val="true"/>
        </w:trPr>
        <w:tc>
          <w:tcPr>
            <w:tcW w:type="dxa" w:w="2160"/>
            <w:tcMar>
              <w:top w:w="45" w:type="dxa"/>
              <w:left w:w="80" w:type="dxa"/>
              <w:bottom w:w="45" w:type="dxa"/>
              <w:right w:w="60" w:type="dxa"/>
            </w:tcMar>
            <w:vAlign w:val="top"/>
          </w:tcPr>
          <w:p>
            <w:pPr>
              <w:pStyle w:val="IGCell"/>
              <w:spacing w:after="0"/>
            </w:pPr>
            <w:r>
              <w:rPr>
                <w:rFonts w:ascii="Arial" w:hAnsi="Arial" w:cs="Arial" w:eastAsia="Arial"/>
                <w:b/>
                <w:color w:val="192E43"/>
                <w:sz w:val="17"/>
              </w:rPr>
              <w:t>Partner capacity</w:t>
            </w:r>
          </w:p>
        </w:tc>
        <w:tc>
          <w:tcPr>
            <w:tcW w:type="dxa" w:w="4176"/>
            <w:tcMar>
              <w:top w:w="45" w:type="dxa"/>
              <w:left w:w="80" w:type="dxa"/>
              <w:bottom w:w="45" w:type="dxa"/>
              <w:right w:w="60" w:type="dxa"/>
            </w:tcMar>
            <w:vAlign w:val="top"/>
          </w:tcPr>
          <w:p>
            <w:pPr>
              <w:pStyle w:val="IGCell"/>
              <w:spacing w:after="0"/>
            </w:pPr>
            <w:r>
              <w:rPr>
                <w:rFonts w:ascii="Arial" w:hAnsi="Arial" w:cs="Arial" w:eastAsia="Arial"/>
                <w:color w:val="192E43"/>
                <w:sz w:val="17"/>
              </w:rPr>
              <w:t>Public Works prepares the technical application. Budget Office and County Attorney support on request.</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7"/>
              </w:rPr>
              <w:t>Grant application production competes with Public Works project schedules.</w:t>
            </w:r>
          </w:p>
        </w:tc>
      </w:tr>
    </w:tbl>
    <w:p>
      <w:pPr>
        <w:spacing w:after="80" w:line="144" w:lineRule="auto"/>
      </w:pPr>
    </w:p>
    <w:p>
      <w:pPr>
        <w:pStyle w:val="IGSmall"/>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Practitioner note.  </w:t>
      </w:r>
      <w:r>
        <w:rPr>
          <w:rFonts w:ascii="Arial" w:hAnsi="Arial" w:cs="Arial" w:eastAsia="Arial"/>
          <w:color w:val="52606D"/>
          <w:sz w:val="17"/>
        </w:rPr>
        <w:t>A one-paragraph plan in brief is the most-read part of a plan. This one names the leadership priorities it serves and the dependency that matters most, so a reader who stops there still knows what is at stake.</w:t>
      </w:r>
    </w:p>
    <w:p>
      <w:pPr>
        <w:pStyle w:val="Heading1"/>
      </w:pPr>
      <w:r>
        <w:t>2. Scope of Intergovernmental Responsibilities</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Defines what the office leads, coordinates, and leaves to others, and who decides what. A shared scope prevents unauthorized positions and duplicated effort.</w:t>
      </w:r>
    </w:p>
    <w:p>
      <w:pPr>
        <w:pStyle w:val="Heading2"/>
      </w:pPr>
      <w:r>
        <w:t>2.1 Responsibilities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232"/>
        <w:gridCol w:w="1152"/>
        <w:gridCol w:w="3384"/>
        <w:gridCol w:w="2880"/>
      </w:tblGrid>
      <w:tr>
        <w:trPr>
          <w:tblHeader w:val="true"/>
          <w:cantSplit w:val="true"/>
        </w:trPr>
        <w:tc>
          <w:tcPr>
            <w:tcW w:type="dxa" w:w="223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Responsibility</w:t>
            </w:r>
          </w:p>
        </w:tc>
        <w:tc>
          <w:tcPr>
            <w:tcW w:type="dxa" w:w="115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Office role</w:t>
            </w:r>
          </w:p>
        </w:tc>
        <w:tc>
          <w:tcPr>
            <w:tcW w:type="dxa" w:w="3384"/>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Basis and limits</w:t>
            </w:r>
          </w:p>
        </w:tc>
        <w:tc>
          <w:tcPr>
            <w:tcW w:type="dxa" w:w="2880"/>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Hands off to</w:t>
            </w:r>
          </w:p>
        </w:tc>
      </w:tr>
      <w:tr>
        <w:trPr>
          <w:cantSplit w:val="true"/>
        </w:trPr>
        <w:tc>
          <w:tcPr>
            <w:tcW w:type="dxa" w:w="2232"/>
            <w:tcMar>
              <w:top w:w="45" w:type="dxa"/>
              <w:left w:w="80" w:type="dxa"/>
              <w:bottom w:w="45" w:type="dxa"/>
              <w:right w:w="60" w:type="dxa"/>
            </w:tcMar>
            <w:vAlign w:val="top"/>
          </w:tcPr>
          <w:p>
            <w:pPr>
              <w:pStyle w:val="IGCell"/>
              <w:spacing w:after="0"/>
            </w:pPr>
            <w:r>
              <w:rPr>
                <w:rFonts w:ascii="Arial" w:hAnsi="Arial" w:cs="Arial" w:eastAsia="Arial"/>
                <w:b/>
                <w:color w:val="192E43"/>
                <w:sz w:val="17"/>
              </w:rPr>
              <w:t>State legislative representation</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Lead</w:t>
            </w:r>
          </w:p>
        </w:tc>
        <w:tc>
          <w:tcPr>
            <w:tcW w:type="dxa" w:w="3384"/>
            <w:tcMar>
              <w:top w:w="45" w:type="dxa"/>
              <w:left w:w="80" w:type="dxa"/>
              <w:bottom w:w="45" w:type="dxa"/>
              <w:right w:w="60" w:type="dxa"/>
            </w:tcMar>
            <w:vAlign w:val="top"/>
          </w:tcPr>
          <w:p>
            <w:pPr>
              <w:pStyle w:val="IGCell"/>
              <w:spacing w:after="0"/>
            </w:pPr>
            <w:r>
              <w:rPr>
                <w:rFonts w:ascii="Arial" w:hAnsi="Arial" w:cs="Arial" w:eastAsia="Arial"/>
                <w:color w:val="192E43"/>
                <w:sz w:val="17"/>
              </w:rPr>
              <w:t>Board of Commissioners 2027 legislative platform. Positions require clearance before use.</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Board members testify on the Chair's direction.</w:t>
            </w:r>
          </w:p>
        </w:tc>
      </w:tr>
      <w:tr>
        <w:trPr>
          <w:cantSplit w:val="true"/>
        </w:trPr>
        <w:tc>
          <w:tcPr>
            <w:tcW w:type="dxa" w:w="2232"/>
            <w:tcMar>
              <w:top w:w="45" w:type="dxa"/>
              <w:left w:w="80" w:type="dxa"/>
              <w:bottom w:w="45" w:type="dxa"/>
              <w:right w:w="60" w:type="dxa"/>
            </w:tcMar>
            <w:vAlign w:val="top"/>
          </w:tcPr>
          <w:p>
            <w:pPr>
              <w:pStyle w:val="IGCell"/>
              <w:spacing w:after="0"/>
            </w:pPr>
            <w:r>
              <w:rPr>
                <w:rFonts w:ascii="Arial" w:hAnsi="Arial" w:cs="Arial" w:eastAsia="Arial"/>
                <w:b/>
                <w:color w:val="192E43"/>
                <w:sz w:val="17"/>
              </w:rPr>
              <w:t>State agency coordination: rules, permits, grants</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Lead</w:t>
            </w:r>
          </w:p>
        </w:tc>
        <w:tc>
          <w:tcPr>
            <w:tcW w:type="dxa" w:w="3384"/>
            <w:tcMar>
              <w:top w:w="45" w:type="dxa"/>
              <w:left w:w="80" w:type="dxa"/>
              <w:bottom w:w="45" w:type="dxa"/>
              <w:right w:w="60" w:type="dxa"/>
            </w:tcMar>
            <w:vAlign w:val="top"/>
          </w:tcPr>
          <w:p>
            <w:pPr>
              <w:pStyle w:val="IGCell"/>
              <w:spacing w:after="0"/>
            </w:pPr>
            <w:r>
              <w:rPr>
                <w:rFonts w:ascii="Arial" w:hAnsi="Arial" w:cs="Arial" w:eastAsia="Arial"/>
                <w:color w:val="192E43"/>
                <w:sz w:val="17"/>
              </w:rPr>
              <w:t>County Executive direction. Policy engagement only.</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Program administration stays with the operating department.</w:t>
            </w:r>
          </w:p>
        </w:tc>
      </w:tr>
      <w:tr>
        <w:trPr>
          <w:cantSplit w:val="true"/>
        </w:trPr>
        <w:tc>
          <w:tcPr>
            <w:tcW w:type="dxa" w:w="2232"/>
            <w:tcMar>
              <w:top w:w="45" w:type="dxa"/>
              <w:left w:w="80" w:type="dxa"/>
              <w:bottom w:w="45" w:type="dxa"/>
              <w:right w:w="60" w:type="dxa"/>
            </w:tcMar>
            <w:vAlign w:val="top"/>
          </w:tcPr>
          <w:p>
            <w:pPr>
              <w:pStyle w:val="IGCell"/>
              <w:spacing w:after="0"/>
            </w:pPr>
            <w:r>
              <w:rPr>
                <w:rFonts w:ascii="Arial" w:hAnsi="Arial" w:cs="Arial" w:eastAsia="Arial"/>
                <w:b/>
                <w:color w:val="192E43"/>
                <w:sz w:val="17"/>
              </w:rPr>
              <w:t>Federal agency and congressional coordination</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Coordinate</w:t>
            </w:r>
          </w:p>
        </w:tc>
        <w:tc>
          <w:tcPr>
            <w:tcW w:type="dxa" w:w="3384"/>
            <w:tcMar>
              <w:top w:w="45" w:type="dxa"/>
              <w:left w:w="80" w:type="dxa"/>
              <w:bottom w:w="45" w:type="dxa"/>
              <w:right w:w="60" w:type="dxa"/>
            </w:tcMar>
            <w:vAlign w:val="top"/>
          </w:tcPr>
          <w:p>
            <w:pPr>
              <w:pStyle w:val="IGCell"/>
              <w:spacing w:after="0"/>
            </w:pPr>
            <w:r>
              <w:rPr>
                <w:rFonts w:ascii="Arial" w:hAnsi="Arial" w:cs="Arial" w:eastAsia="Arial"/>
                <w:color w:val="192E43"/>
                <w:sz w:val="17"/>
              </w:rPr>
              <w:t>Federal Programs Liaison works with Public Works. Contact with congressional offices is cleared by the Director.</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Public Works leads application production.</w:t>
            </w:r>
          </w:p>
        </w:tc>
      </w:tr>
      <w:tr>
        <w:trPr>
          <w:cantSplit w:val="true"/>
        </w:trPr>
        <w:tc>
          <w:tcPr>
            <w:tcW w:type="dxa" w:w="2232"/>
            <w:tcMar>
              <w:top w:w="45" w:type="dxa"/>
              <w:left w:w="80" w:type="dxa"/>
              <w:bottom w:w="45" w:type="dxa"/>
              <w:right w:w="60" w:type="dxa"/>
            </w:tcMar>
            <w:vAlign w:val="top"/>
          </w:tcPr>
          <w:p>
            <w:pPr>
              <w:pStyle w:val="IGCell"/>
              <w:spacing w:after="0"/>
            </w:pPr>
            <w:r>
              <w:rPr>
                <w:rFonts w:ascii="Arial" w:hAnsi="Arial" w:cs="Arial" w:eastAsia="Arial"/>
                <w:b/>
                <w:color w:val="192E43"/>
                <w:sz w:val="17"/>
              </w:rPr>
              <w:t>Tribal government relations</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Lead</w:t>
            </w:r>
          </w:p>
        </w:tc>
        <w:tc>
          <w:tcPr>
            <w:tcW w:type="dxa" w:w="3384"/>
            <w:tcMar>
              <w:top w:w="45" w:type="dxa"/>
              <w:left w:w="80" w:type="dxa"/>
              <w:bottom w:w="45" w:type="dxa"/>
              <w:right w:w="60" w:type="dxa"/>
            </w:tcMar>
            <w:vAlign w:val="top"/>
          </w:tcPr>
          <w:p>
            <w:pPr>
              <w:pStyle w:val="IGCell"/>
              <w:spacing w:after="0"/>
            </w:pPr>
            <w:r>
              <w:rPr>
                <w:rFonts w:ascii="Arial" w:hAnsi="Arial" w:cs="Arial" w:eastAsia="Arial"/>
                <w:color w:val="192E43"/>
                <w:sz w:val="17"/>
              </w:rPr>
              <w:t>County Executive direction, November 5, 2026. Leader-level engagement requires the County Executive.</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County Attorney advises on legal questions.</w:t>
            </w:r>
          </w:p>
        </w:tc>
      </w:tr>
      <w:tr>
        <w:trPr>
          <w:cantSplit w:val="true"/>
        </w:trPr>
        <w:tc>
          <w:tcPr>
            <w:tcW w:type="dxa" w:w="2232"/>
            <w:tcMar>
              <w:top w:w="45" w:type="dxa"/>
              <w:left w:w="80" w:type="dxa"/>
              <w:bottom w:w="45" w:type="dxa"/>
              <w:right w:w="60" w:type="dxa"/>
            </w:tcMar>
            <w:vAlign w:val="top"/>
          </w:tcPr>
          <w:p>
            <w:pPr>
              <w:pStyle w:val="IGCell"/>
              <w:spacing w:after="0"/>
            </w:pPr>
            <w:r>
              <w:rPr>
                <w:rFonts w:ascii="Arial" w:hAnsi="Arial" w:cs="Arial" w:eastAsia="Arial"/>
                <w:b/>
                <w:color w:val="192E43"/>
                <w:sz w:val="17"/>
              </w:rPr>
              <w:t>Regional and interlocal bodies</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Lead</w:t>
            </w:r>
          </w:p>
        </w:tc>
        <w:tc>
          <w:tcPr>
            <w:tcW w:type="dxa" w:w="3384"/>
            <w:tcMar>
              <w:top w:w="45" w:type="dxa"/>
              <w:left w:w="80" w:type="dxa"/>
              <w:bottom w:w="45" w:type="dxa"/>
              <w:right w:w="60" w:type="dxa"/>
            </w:tcMar>
            <w:vAlign w:val="top"/>
          </w:tcPr>
          <w:p>
            <w:pPr>
              <w:pStyle w:val="IGCell"/>
              <w:spacing w:after="0"/>
            </w:pPr>
            <w:r>
              <w:rPr>
                <w:rFonts w:ascii="Arial" w:hAnsi="Arial" w:cs="Arial" w:eastAsia="Arial"/>
                <w:color w:val="192E43"/>
                <w:sz w:val="17"/>
              </w:rPr>
              <w:t>Staff-level coordination and agreement negotiation. Governing bodies approve.</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Board approves agreements that commit County funds.</w:t>
            </w:r>
          </w:p>
        </w:tc>
      </w:tr>
      <w:tr>
        <w:trPr>
          <w:cantSplit w:val="true"/>
        </w:trPr>
        <w:tc>
          <w:tcPr>
            <w:tcW w:type="dxa" w:w="2232"/>
            <w:tcMar>
              <w:top w:w="45" w:type="dxa"/>
              <w:left w:w="80" w:type="dxa"/>
              <w:bottom w:w="45" w:type="dxa"/>
              <w:right w:w="60" w:type="dxa"/>
            </w:tcMar>
            <w:vAlign w:val="top"/>
          </w:tcPr>
          <w:p>
            <w:pPr>
              <w:pStyle w:val="IGCell"/>
              <w:spacing w:after="0"/>
            </w:pPr>
            <w:r>
              <w:rPr>
                <w:rFonts w:ascii="Arial" w:hAnsi="Arial" w:cs="Arial" w:eastAsia="Arial"/>
                <w:b/>
                <w:color w:val="192E43"/>
                <w:sz w:val="17"/>
              </w:rPr>
              <w:t>Executive reporting and clearance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Lead</w:t>
            </w:r>
          </w:p>
        </w:tc>
        <w:tc>
          <w:tcPr>
            <w:tcW w:type="dxa" w:w="3384"/>
            <w:tcMar>
              <w:top w:w="45" w:type="dxa"/>
              <w:left w:w="80" w:type="dxa"/>
              <w:bottom w:w="45" w:type="dxa"/>
              <w:right w:w="60" w:type="dxa"/>
            </w:tcMar>
            <w:vAlign w:val="top"/>
          </w:tcPr>
          <w:p>
            <w:pPr>
              <w:pStyle w:val="IGCell"/>
              <w:spacing w:after="0"/>
            </w:pPr>
            <w:r>
              <w:rPr>
                <w:rFonts w:ascii="Arial" w:hAnsi="Arial" w:cs="Arial" w:eastAsia="Arial"/>
                <w:color w:val="192E43"/>
                <w:sz w:val="17"/>
              </w:rPr>
              <w:t>Established under OBJ-6.</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Communications Office handles public statements.</w:t>
            </w:r>
          </w:p>
        </w:tc>
      </w:tr>
      <w:tr>
        <w:trPr>
          <w:cantSplit w:val="true"/>
        </w:trPr>
        <w:tc>
          <w:tcPr>
            <w:tcW w:type="dxa" w:w="2232"/>
            <w:tcMar>
              <w:top w:w="45" w:type="dxa"/>
              <w:left w:w="80" w:type="dxa"/>
              <w:bottom w:w="45" w:type="dxa"/>
              <w:right w:w="60" w:type="dxa"/>
            </w:tcMar>
            <w:vAlign w:val="top"/>
          </w:tcPr>
          <w:p>
            <w:pPr>
              <w:pStyle w:val="IGCell"/>
              <w:spacing w:after="0"/>
            </w:pPr>
            <w:r>
              <w:rPr>
                <w:rFonts w:ascii="Arial" w:hAnsi="Arial" w:cs="Arial" w:eastAsia="Arial"/>
                <w:b/>
                <w:color w:val="192E43"/>
                <w:sz w:val="17"/>
              </w:rPr>
              <w:t>Public communications and media</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Not in scope</w:t>
            </w:r>
          </w:p>
        </w:tc>
        <w:tc>
          <w:tcPr>
            <w:tcW w:type="dxa" w:w="3384"/>
            <w:tcMar>
              <w:top w:w="45" w:type="dxa"/>
              <w:left w:w="80" w:type="dxa"/>
              <w:bottom w:w="45" w:type="dxa"/>
              <w:right w:w="60" w:type="dxa"/>
            </w:tcMar>
            <w:vAlign w:val="top"/>
          </w:tcPr>
          <w:p>
            <w:pPr>
              <w:pStyle w:val="IGCell"/>
              <w:spacing w:after="0"/>
            </w:pPr>
            <w:r>
              <w:rPr>
                <w:rFonts w:ascii="Arial" w:hAnsi="Arial" w:cs="Arial" w:eastAsia="Arial"/>
                <w:color w:val="192E43"/>
                <w:sz w:val="17"/>
              </w:rPr>
              <w:t>The office supplies cleared positions only.</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Communications Office.</w:t>
            </w:r>
          </w:p>
        </w:tc>
      </w:tr>
      <w:tr>
        <w:trPr>
          <w:cantSplit w:val="true"/>
        </w:trPr>
        <w:tc>
          <w:tcPr>
            <w:tcW w:type="dxa" w:w="2232"/>
            <w:tcMar>
              <w:top w:w="45" w:type="dxa"/>
              <w:left w:w="80" w:type="dxa"/>
              <w:bottom w:w="45" w:type="dxa"/>
              <w:right w:w="60" w:type="dxa"/>
            </w:tcMar>
            <w:vAlign w:val="top"/>
          </w:tcPr>
          <w:p>
            <w:pPr>
              <w:pStyle w:val="IGCell"/>
              <w:spacing w:after="0"/>
            </w:pPr>
            <w:r>
              <w:rPr>
                <w:rFonts w:ascii="Arial" w:hAnsi="Arial" w:cs="Arial" w:eastAsia="Arial"/>
                <w:b/>
                <w:color w:val="192E43"/>
                <w:sz w:val="17"/>
              </w:rPr>
              <w:t>Grant writing and administration</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Not in scope</w:t>
            </w:r>
          </w:p>
        </w:tc>
        <w:tc>
          <w:tcPr>
            <w:tcW w:type="dxa" w:w="3384"/>
            <w:tcMar>
              <w:top w:w="45" w:type="dxa"/>
              <w:left w:w="80" w:type="dxa"/>
              <w:bottom w:w="45" w:type="dxa"/>
              <w:right w:w="60" w:type="dxa"/>
            </w:tcMar>
            <w:vAlign w:val="top"/>
          </w:tcPr>
          <w:p>
            <w:pPr>
              <w:pStyle w:val="IGCell"/>
              <w:spacing w:after="0"/>
            </w:pPr>
            <w:r>
              <w:rPr>
                <w:rFonts w:ascii="Arial" w:hAnsi="Arial" w:cs="Arial" w:eastAsia="Arial"/>
                <w:color w:val="192E43"/>
                <w:sz w:val="17"/>
              </w:rPr>
              <w:t>The office positions applications and manages relationships.</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Public Works.</w:t>
            </w:r>
          </w:p>
        </w:tc>
      </w:tr>
    </w:tbl>
    <w:p>
      <w:pPr>
        <w:spacing w:after="80" w:line="144" w:lineRule="auto"/>
      </w:pPr>
    </w:p>
    <w:p>
      <w:pPr>
        <w:pStyle w:val="Heading2"/>
      </w:pPr>
      <w:r>
        <w:t>2.2 Decision rights and clearance</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448"/>
        <w:gridCol w:w="2160"/>
        <w:gridCol w:w="3168"/>
        <w:gridCol w:w="1872"/>
      </w:tblGrid>
      <w:tr>
        <w:trPr>
          <w:tblHeader w:val="true"/>
          <w:cantSplit w:val="true"/>
        </w:trPr>
        <w:tc>
          <w:tcPr>
            <w:tcW w:type="dxa" w:w="244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Decision</w:t>
            </w:r>
          </w:p>
        </w:tc>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Who decides</w:t>
            </w:r>
          </w:p>
        </w:tc>
        <w:tc>
          <w:tcPr>
            <w:tcW w:type="dxa" w:w="316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Clearance path</w:t>
            </w:r>
          </w:p>
        </w:tc>
        <w:tc>
          <w:tcPr>
            <w:tcW w:type="dxa" w:w="187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Standard turnaround</w:t>
            </w:r>
          </w:p>
        </w:tc>
      </w:tr>
      <w:tr>
        <w:trPr>
          <w:cantSplit w:val="true"/>
        </w:trPr>
        <w:tc>
          <w:tcPr>
            <w:tcW w:type="dxa" w:w="2448"/>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Position on a bill</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Board for bills that affect the platform. Deputy County Executive for others.</w:t>
            </w:r>
          </w:p>
        </w:tc>
        <w:tc>
          <w:tcPr>
            <w:tcW w:type="dxa" w:w="3168"/>
            <w:tcMar>
              <w:top w:w="45" w:type="dxa"/>
              <w:left w:w="80" w:type="dxa"/>
              <w:bottom w:w="45" w:type="dxa"/>
              <w:right w:w="60" w:type="dxa"/>
            </w:tcMar>
            <w:vAlign w:val="top"/>
          </w:tcPr>
          <w:p>
            <w:pPr>
              <w:pStyle w:val="IGCell"/>
              <w:keepNext/>
              <w:spacing w:after="0"/>
            </w:pPr>
            <w:r>
              <w:rPr>
                <w:rFonts w:ascii="Arial" w:hAnsi="Arial" w:cs="Arial" w:eastAsia="Arial"/>
                <w:color w:val="192E43"/>
                <w:sz w:val="17"/>
              </w:rPr>
              <w:t>Director, then County Attorney for legal effect, then decider.</w:t>
            </w:r>
          </w:p>
        </w:tc>
        <w:tc>
          <w:tcPr>
            <w:tcW w:type="dxa" w:w="1872"/>
            <w:tcMar>
              <w:top w:w="45" w:type="dxa"/>
              <w:left w:w="80" w:type="dxa"/>
              <w:bottom w:w="45" w:type="dxa"/>
              <w:right w:w="60" w:type="dxa"/>
            </w:tcMar>
            <w:vAlign w:val="top"/>
          </w:tcPr>
          <w:p>
            <w:pPr>
              <w:pStyle w:val="IGCell"/>
              <w:keepNext/>
              <w:spacing w:after="0"/>
            </w:pPr>
            <w:r>
              <w:rPr>
                <w:rFonts w:ascii="Arial" w:hAnsi="Arial" w:cs="Arial" w:eastAsia="Arial"/>
                <w:color w:val="192E43"/>
                <w:sz w:val="17"/>
              </w:rPr>
              <w:t>48 hours in session. Five business days otherwise.</w:t>
            </w:r>
          </w:p>
        </w:tc>
      </w:tr>
      <w:tr>
        <w:trPr>
          <w:cantSplit w:val="true"/>
        </w:trPr>
        <w:tc>
          <w:tcPr>
            <w:tcW w:type="dxa" w:w="2448"/>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Testimony and written comment</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Director</w:t>
            </w:r>
          </w:p>
        </w:tc>
        <w:tc>
          <w:tcPr>
            <w:tcW w:type="dxa" w:w="3168"/>
            <w:tcMar>
              <w:top w:w="45" w:type="dxa"/>
              <w:left w:w="80" w:type="dxa"/>
              <w:bottom w:w="45" w:type="dxa"/>
              <w:right w:w="60" w:type="dxa"/>
            </w:tcMar>
            <w:vAlign w:val="top"/>
          </w:tcPr>
          <w:p>
            <w:pPr>
              <w:pStyle w:val="IGCell"/>
              <w:keepNext/>
              <w:spacing w:after="0"/>
            </w:pPr>
            <w:r>
              <w:rPr>
                <w:rFonts w:ascii="Arial" w:hAnsi="Arial" w:cs="Arial" w:eastAsia="Arial"/>
                <w:color w:val="192E43"/>
                <w:sz w:val="17"/>
              </w:rPr>
              <w:t>County Attorney reviews legal statements.</w:t>
            </w:r>
          </w:p>
        </w:tc>
        <w:tc>
          <w:tcPr>
            <w:tcW w:type="dxa" w:w="1872"/>
            <w:tcMar>
              <w:top w:w="45" w:type="dxa"/>
              <w:left w:w="80" w:type="dxa"/>
              <w:bottom w:w="45" w:type="dxa"/>
              <w:right w:w="60" w:type="dxa"/>
            </w:tcMar>
            <w:vAlign w:val="top"/>
          </w:tcPr>
          <w:p>
            <w:pPr>
              <w:pStyle w:val="IGCell"/>
              <w:keepNext/>
              <w:spacing w:after="0"/>
            </w:pPr>
            <w:r>
              <w:rPr>
                <w:rFonts w:ascii="Arial" w:hAnsi="Arial" w:cs="Arial" w:eastAsia="Arial"/>
                <w:color w:val="192E43"/>
                <w:sz w:val="17"/>
              </w:rPr>
              <w:t>24 hours in session.</w:t>
            </w:r>
          </w:p>
        </w:tc>
      </w:tr>
      <w:tr>
        <w:trPr>
          <w:cantSplit w:val="true"/>
        </w:trPr>
        <w:tc>
          <w:tcPr>
            <w:tcW w:type="dxa" w:w="2448"/>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Go or no-go on a federal application</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County Executive</w:t>
            </w:r>
          </w:p>
        </w:tc>
        <w:tc>
          <w:tcPr>
            <w:tcW w:type="dxa" w:w="3168"/>
            <w:tcMar>
              <w:top w:w="45" w:type="dxa"/>
              <w:left w:w="80" w:type="dxa"/>
              <w:bottom w:w="45" w:type="dxa"/>
              <w:right w:w="60" w:type="dxa"/>
            </w:tcMar>
            <w:vAlign w:val="top"/>
          </w:tcPr>
          <w:p>
            <w:pPr>
              <w:pStyle w:val="IGCell"/>
              <w:keepNext/>
              <w:spacing w:after="0"/>
            </w:pPr>
            <w:r>
              <w:rPr>
                <w:rFonts w:ascii="Arial" w:hAnsi="Arial" w:cs="Arial" w:eastAsia="Arial"/>
                <w:color w:val="192E43"/>
                <w:sz w:val="17"/>
              </w:rPr>
              <w:t>Director, Public Works, Budget Director.</w:t>
            </w:r>
          </w:p>
        </w:tc>
        <w:tc>
          <w:tcPr>
            <w:tcW w:type="dxa" w:w="1872"/>
            <w:tcMar>
              <w:top w:w="45" w:type="dxa"/>
              <w:left w:w="80" w:type="dxa"/>
              <w:bottom w:w="45" w:type="dxa"/>
              <w:right w:w="60" w:type="dxa"/>
            </w:tcMar>
            <w:vAlign w:val="top"/>
          </w:tcPr>
          <w:p>
            <w:pPr>
              <w:pStyle w:val="IGCell"/>
              <w:keepNext/>
              <w:spacing w:after="0"/>
            </w:pPr>
            <w:r>
              <w:rPr>
                <w:rFonts w:ascii="Arial" w:hAnsi="Arial" w:cs="Arial" w:eastAsia="Arial"/>
                <w:color w:val="192E43"/>
                <w:sz w:val="17"/>
              </w:rPr>
              <w:t>Five business days.</w:t>
            </w:r>
          </w:p>
        </w:tc>
      </w:tr>
      <w:tr>
        <w:trPr>
          <w:cantSplit w:val="true"/>
        </w:trPr>
        <w:tc>
          <w:tcPr>
            <w:tcW w:type="dxa" w:w="2448"/>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Commitment of County funds in an agreement</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Board of Commissioners</w:t>
            </w:r>
          </w:p>
        </w:tc>
        <w:tc>
          <w:tcPr>
            <w:tcW w:type="dxa" w:w="3168"/>
            <w:tcMar>
              <w:top w:w="45" w:type="dxa"/>
              <w:left w:w="80" w:type="dxa"/>
              <w:bottom w:w="45" w:type="dxa"/>
              <w:right w:w="60" w:type="dxa"/>
            </w:tcMar>
            <w:vAlign w:val="top"/>
          </w:tcPr>
          <w:p>
            <w:pPr>
              <w:pStyle w:val="IGCell"/>
              <w:keepNext/>
              <w:spacing w:after="0"/>
            </w:pPr>
            <w:r>
              <w:rPr>
                <w:rFonts w:ascii="Arial" w:hAnsi="Arial" w:cs="Arial" w:eastAsia="Arial"/>
                <w:color w:val="192E43"/>
                <w:sz w:val="17"/>
              </w:rPr>
              <w:t>County Attorney and Budget Director.</w:t>
            </w:r>
          </w:p>
        </w:tc>
        <w:tc>
          <w:tcPr>
            <w:tcW w:type="dxa" w:w="1872"/>
            <w:tcMar>
              <w:top w:w="45" w:type="dxa"/>
              <w:left w:w="80" w:type="dxa"/>
              <w:bottom w:w="45" w:type="dxa"/>
              <w:right w:w="60" w:type="dxa"/>
            </w:tcMar>
            <w:vAlign w:val="top"/>
          </w:tcPr>
          <w:p>
            <w:pPr>
              <w:pStyle w:val="IGCell"/>
              <w:keepNext/>
              <w:spacing w:after="0"/>
            </w:pPr>
            <w:r>
              <w:rPr>
                <w:rFonts w:ascii="Arial" w:hAnsi="Arial" w:cs="Arial" w:eastAsia="Arial"/>
                <w:color w:val="192E43"/>
                <w:sz w:val="17"/>
              </w:rPr>
              <w:t>Next regular Board meeting.</w:t>
            </w:r>
          </w:p>
        </w:tc>
      </w:tr>
      <w:tr>
        <w:trPr>
          <w:cantSplit w:val="true"/>
        </w:trPr>
        <w:tc>
          <w:tcPr>
            <w:tcW w:type="dxa" w:w="2448"/>
            <w:tcMar>
              <w:top w:w="45" w:type="dxa"/>
              <w:left w:w="80" w:type="dxa"/>
              <w:bottom w:w="45" w:type="dxa"/>
              <w:right w:w="60" w:type="dxa"/>
            </w:tcMar>
            <w:vAlign w:val="top"/>
          </w:tcPr>
          <w:p>
            <w:pPr>
              <w:pStyle w:val="IGCell"/>
              <w:spacing w:after="0"/>
            </w:pPr>
            <w:r>
              <w:rPr>
                <w:rFonts w:ascii="Arial" w:hAnsi="Arial" w:cs="Arial" w:eastAsia="Arial"/>
                <w:b/>
                <w:color w:val="192E43"/>
                <w:sz w:val="17"/>
              </w:rPr>
              <w:t>Leader-level engagement with a Tribal Nation</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7"/>
              </w:rPr>
              <w:t>County Executive</w:t>
            </w:r>
          </w:p>
        </w:tc>
        <w:tc>
          <w:tcPr>
            <w:tcW w:type="dxa" w:w="3168"/>
            <w:tcMar>
              <w:top w:w="45" w:type="dxa"/>
              <w:left w:w="80" w:type="dxa"/>
              <w:bottom w:w="45" w:type="dxa"/>
              <w:right w:w="60" w:type="dxa"/>
            </w:tcMar>
            <w:vAlign w:val="top"/>
          </w:tcPr>
          <w:p>
            <w:pPr>
              <w:pStyle w:val="IGCell"/>
              <w:spacing w:after="0"/>
            </w:pPr>
            <w:r>
              <w:rPr>
                <w:rFonts w:ascii="Arial" w:hAnsi="Arial" w:cs="Arial" w:eastAsia="Arial"/>
                <w:color w:val="192E43"/>
                <w:sz w:val="17"/>
              </w:rPr>
              <w:t>Director and County Attorney.</w:t>
            </w:r>
          </w:p>
        </w:tc>
        <w:tc>
          <w:tcPr>
            <w:tcW w:type="dxa" w:w="1872"/>
            <w:tcMar>
              <w:top w:w="45" w:type="dxa"/>
              <w:left w:w="80" w:type="dxa"/>
              <w:bottom w:w="45" w:type="dxa"/>
              <w:right w:w="60" w:type="dxa"/>
            </w:tcMar>
            <w:vAlign w:val="top"/>
          </w:tcPr>
          <w:p>
            <w:pPr>
              <w:pStyle w:val="IGCell"/>
              <w:spacing w:after="0"/>
            </w:pPr>
            <w:r>
              <w:rPr>
                <w:rFonts w:ascii="Arial" w:hAnsi="Arial" w:cs="Arial" w:eastAsia="Arial"/>
                <w:color w:val="192E43"/>
                <w:sz w:val="17"/>
              </w:rPr>
              <w:t>Five business days.</w:t>
            </w:r>
          </w:p>
        </w:tc>
      </w:tr>
    </w:tbl>
    <w:p>
      <w:pPr>
        <w:spacing w:after="80" w:line="144" w:lineRule="auto"/>
      </w:pPr>
    </w:p>
    <w:p>
      <w:pPr>
        <w:pStyle w:val="Heading1"/>
      </w:pPr>
      <w:r>
        <w:t>3. Executive Priorities and Decisions Required</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Ties the plan to what leadership has said it wants, and lists the decisions the office needs from leadership to deliver it.</w:t>
      </w:r>
    </w:p>
    <w:p>
      <w:pPr>
        <w:pStyle w:val="Heading2"/>
      </w:pPr>
      <w:r>
        <w:t>3.1 Executive priorities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720"/>
        <w:gridCol w:w="2304"/>
        <w:gridCol w:w="1872"/>
        <w:gridCol w:w="1152"/>
        <w:gridCol w:w="2304"/>
        <w:gridCol w:w="1296"/>
      </w:tblGrid>
      <w:tr>
        <w:trPr>
          <w:tblHeader w:val="true"/>
          <w:cantSplit w:val="true"/>
        </w:trPr>
        <w:tc>
          <w:tcPr>
            <w:tcW w:type="dxa" w:w="72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ID</w:t>
            </w:r>
          </w:p>
        </w:tc>
        <w:tc>
          <w:tcPr>
            <w:tcW w:type="dxa" w:w="230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Priority</w:t>
            </w:r>
          </w:p>
        </w:tc>
        <w:tc>
          <w:tcPr>
            <w:tcW w:type="dxa" w:w="187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Source document</w:t>
            </w:r>
          </w:p>
        </w:tc>
        <w:tc>
          <w:tcPr>
            <w:tcW w:type="dxa" w:w="115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Owner</w:t>
            </w:r>
          </w:p>
        </w:tc>
        <w:tc>
          <w:tcPr>
            <w:tcW w:type="dxa" w:w="230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What leadership expects</w:t>
            </w:r>
          </w:p>
        </w:tc>
        <w:tc>
          <w:tcPr>
            <w:tcW w:type="dxa" w:w="129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Objectives</w:t>
            </w:r>
          </w:p>
        </w:tc>
      </w:tr>
      <w:tr>
        <w:trPr>
          <w:cantSplit w:val="true"/>
        </w:trPr>
        <w:tc>
          <w:tcPr>
            <w:tcW w:type="dxa" w:w="72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EP-1</w:t>
            </w:r>
          </w:p>
        </w:tc>
        <w:tc>
          <w:tcPr>
            <w:tcW w:type="dxa" w:w="2304"/>
            <w:tcMar>
              <w:top w:w="45" w:type="dxa"/>
              <w:left w:w="80" w:type="dxa"/>
              <w:bottom w:w="45" w:type="dxa"/>
              <w:right w:w="60" w:type="dxa"/>
            </w:tcMar>
            <w:vAlign w:val="top"/>
          </w:tcPr>
          <w:p>
            <w:pPr>
              <w:pStyle w:val="IGCell"/>
              <w:keepNext/>
              <w:spacing w:after="0"/>
            </w:pPr>
            <w:r>
              <w:rPr>
                <w:rFonts w:ascii="Arial" w:hAnsi="Arial" w:cs="Arial" w:eastAsia="Arial"/>
                <w:color w:val="192E43"/>
                <w:sz w:val="17"/>
              </w:rPr>
              <w:t>Fund the Calloway River Bridge replacement and the county road backlog without a general property tax increase.</w:t>
            </w:r>
          </w:p>
        </w:tc>
        <w:tc>
          <w:tcPr>
            <w:tcW w:type="dxa" w:w="1872"/>
            <w:tcMar>
              <w:top w:w="45" w:type="dxa"/>
              <w:left w:w="80" w:type="dxa"/>
              <w:bottom w:w="45" w:type="dxa"/>
              <w:right w:w="60" w:type="dxa"/>
            </w:tcMar>
            <w:vAlign w:val="top"/>
          </w:tcPr>
          <w:p>
            <w:pPr>
              <w:pStyle w:val="IGCell"/>
              <w:keepNext/>
              <w:spacing w:after="0"/>
            </w:pPr>
            <w:r>
              <w:rPr>
                <w:rFonts w:ascii="Arial" w:hAnsi="Arial" w:cs="Arial" w:eastAsia="Arial"/>
                <w:color w:val="192E43"/>
                <w:sz w:val="17"/>
              </w:rPr>
              <w:t>County Executive and Board, 2027 legislative platform, adopted Dec 8, 2026</w:t>
            </w:r>
          </w:p>
        </w:tc>
        <w:tc>
          <w:tcPr>
            <w:tcW w:type="dxa" w:w="11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County Executive and Board</w:t>
            </w:r>
          </w:p>
        </w:tc>
        <w:tc>
          <w:tcPr>
            <w:tcW w:type="dxa" w:w="2304"/>
            <w:tcMar>
              <w:top w:w="45" w:type="dxa"/>
              <w:left w:w="80" w:type="dxa"/>
              <w:bottom w:w="45" w:type="dxa"/>
              <w:right w:w="60" w:type="dxa"/>
            </w:tcMar>
            <w:vAlign w:val="top"/>
          </w:tcPr>
          <w:p>
            <w:pPr>
              <w:pStyle w:val="IGCell"/>
              <w:keepNext/>
              <w:spacing w:after="0"/>
            </w:pPr>
            <w:r>
              <w:rPr>
                <w:rFonts w:ascii="Arial" w:hAnsi="Arial" w:cs="Arial" w:eastAsia="Arial"/>
                <w:color w:val="192E43"/>
                <w:sz w:val="17"/>
              </w:rPr>
              <w:t>A funded path for the bridge by the federal application date.</w:t>
            </w:r>
          </w:p>
        </w:tc>
        <w:tc>
          <w:tcPr>
            <w:tcW w:type="dxa" w:w="1296"/>
            <w:tcMar>
              <w:top w:w="45" w:type="dxa"/>
              <w:left w:w="80" w:type="dxa"/>
              <w:bottom w:w="45" w:type="dxa"/>
              <w:right w:w="60" w:type="dxa"/>
            </w:tcMar>
            <w:vAlign w:val="top"/>
          </w:tcPr>
          <w:p>
            <w:pPr>
              <w:pStyle w:val="IGCell"/>
              <w:keepNext/>
              <w:spacing w:after="0"/>
            </w:pPr>
            <w:r>
              <w:rPr>
                <w:rFonts w:ascii="Arial" w:hAnsi="Arial" w:cs="Arial" w:eastAsia="Arial"/>
                <w:color w:val="192E43"/>
                <w:sz w:val="17"/>
              </w:rPr>
              <w:t>OBJ-1, OBJ-3</w:t>
            </w:r>
          </w:p>
        </w:tc>
      </w:tr>
      <w:tr>
        <w:trPr>
          <w:cantSplit w:val="true"/>
        </w:trPr>
        <w:tc>
          <w:tcPr>
            <w:tcW w:type="dxa" w:w="72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EP-2</w:t>
            </w:r>
          </w:p>
        </w:tc>
        <w:tc>
          <w:tcPr>
            <w:tcW w:type="dxa" w:w="2304"/>
            <w:tcMar>
              <w:top w:w="45" w:type="dxa"/>
              <w:left w:w="80" w:type="dxa"/>
              <w:bottom w:w="45" w:type="dxa"/>
              <w:right w:w="60" w:type="dxa"/>
            </w:tcMar>
            <w:vAlign w:val="top"/>
          </w:tcPr>
          <w:p>
            <w:pPr>
              <w:pStyle w:val="IGCell"/>
              <w:keepNext/>
              <w:spacing w:after="0"/>
            </w:pPr>
            <w:r>
              <w:rPr>
                <w:rFonts w:ascii="Arial" w:hAnsi="Arial" w:cs="Arial" w:eastAsia="Arial"/>
                <w:color w:val="192E43"/>
                <w:sz w:val="17"/>
              </w:rPr>
              <w:t>Protect the County's authority to set local development and stormwater standards.</w:t>
            </w:r>
          </w:p>
        </w:tc>
        <w:tc>
          <w:tcPr>
            <w:tcW w:type="dxa" w:w="1872"/>
            <w:tcMar>
              <w:top w:w="45" w:type="dxa"/>
              <w:left w:w="80" w:type="dxa"/>
              <w:bottom w:w="45" w:type="dxa"/>
              <w:right w:w="60" w:type="dxa"/>
            </w:tcMar>
            <w:vAlign w:val="top"/>
          </w:tcPr>
          <w:p>
            <w:pPr>
              <w:pStyle w:val="IGCell"/>
              <w:keepNext/>
              <w:spacing w:after="0"/>
            </w:pPr>
            <w:r>
              <w:rPr>
                <w:rFonts w:ascii="Arial" w:hAnsi="Arial" w:cs="Arial" w:eastAsia="Arial"/>
                <w:color w:val="192E43"/>
                <w:sz w:val="17"/>
              </w:rPr>
              <w:t>Board of Commissioners resolution, Nov 17, 2026</w:t>
            </w:r>
          </w:p>
        </w:tc>
        <w:tc>
          <w:tcPr>
            <w:tcW w:type="dxa" w:w="11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Board Chair</w:t>
            </w:r>
          </w:p>
        </w:tc>
        <w:tc>
          <w:tcPr>
            <w:tcW w:type="dxa" w:w="2304"/>
            <w:tcMar>
              <w:top w:w="45" w:type="dxa"/>
              <w:left w:w="80" w:type="dxa"/>
              <w:bottom w:w="45" w:type="dxa"/>
              <w:right w:w="60" w:type="dxa"/>
            </w:tcMar>
            <w:vAlign w:val="top"/>
          </w:tcPr>
          <w:p>
            <w:pPr>
              <w:pStyle w:val="IGCell"/>
              <w:keepNext/>
              <w:spacing w:after="0"/>
            </w:pPr>
            <w:r>
              <w:rPr>
                <w:rFonts w:ascii="Arial" w:hAnsi="Arial" w:cs="Arial" w:eastAsia="Arial"/>
                <w:color w:val="192E43"/>
                <w:sz w:val="17"/>
              </w:rPr>
              <w:t>Retention of local authority in HB 388 and in the state permit rule.</w:t>
            </w:r>
          </w:p>
        </w:tc>
        <w:tc>
          <w:tcPr>
            <w:tcW w:type="dxa" w:w="1296"/>
            <w:tcMar>
              <w:top w:w="45" w:type="dxa"/>
              <w:left w:w="80" w:type="dxa"/>
              <w:bottom w:w="45" w:type="dxa"/>
              <w:right w:w="60" w:type="dxa"/>
            </w:tcMar>
            <w:vAlign w:val="top"/>
          </w:tcPr>
          <w:p>
            <w:pPr>
              <w:pStyle w:val="IGCell"/>
              <w:keepNext/>
              <w:spacing w:after="0"/>
            </w:pPr>
            <w:r>
              <w:rPr>
                <w:rFonts w:ascii="Arial" w:hAnsi="Arial" w:cs="Arial" w:eastAsia="Arial"/>
                <w:color w:val="192E43"/>
                <w:sz w:val="17"/>
              </w:rPr>
              <w:t>OBJ-2</w:t>
            </w:r>
          </w:p>
        </w:tc>
      </w:tr>
      <w:tr>
        <w:trPr>
          <w:cantSplit w:val="true"/>
        </w:trPr>
        <w:tc>
          <w:tcPr>
            <w:tcW w:type="dxa" w:w="72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EP-3</w:t>
            </w:r>
          </w:p>
        </w:tc>
        <w:tc>
          <w:tcPr>
            <w:tcW w:type="dxa" w:w="2304"/>
            <w:tcMar>
              <w:top w:w="45" w:type="dxa"/>
              <w:left w:w="80" w:type="dxa"/>
              <w:bottom w:w="45" w:type="dxa"/>
              <w:right w:w="60" w:type="dxa"/>
            </w:tcMar>
            <w:vAlign w:val="top"/>
          </w:tcPr>
          <w:p>
            <w:pPr>
              <w:pStyle w:val="IGCell"/>
              <w:keepNext/>
              <w:spacing w:after="0"/>
            </w:pPr>
            <w:r>
              <w:rPr>
                <w:rFonts w:ascii="Arial" w:hAnsi="Arial" w:cs="Arial" w:eastAsia="Arial"/>
                <w:color w:val="192E43"/>
                <w:sz w:val="17"/>
              </w:rPr>
              <w:t>Strengthen working relationships with Riverton City, the River Valley Transit Authority, and the Three Fords Tribal Nation on shared infrastructure.</w:t>
            </w:r>
          </w:p>
        </w:tc>
        <w:tc>
          <w:tcPr>
            <w:tcW w:type="dxa" w:w="1872"/>
            <w:tcMar>
              <w:top w:w="45" w:type="dxa"/>
              <w:left w:w="80" w:type="dxa"/>
              <w:bottom w:w="45" w:type="dxa"/>
              <w:right w:w="60" w:type="dxa"/>
            </w:tcMar>
            <w:vAlign w:val="top"/>
          </w:tcPr>
          <w:p>
            <w:pPr>
              <w:pStyle w:val="IGCell"/>
              <w:keepNext/>
              <w:spacing w:after="0"/>
            </w:pPr>
            <w:r>
              <w:rPr>
                <w:rFonts w:ascii="Arial" w:hAnsi="Arial" w:cs="Arial" w:eastAsia="Arial"/>
                <w:color w:val="192E43"/>
                <w:sz w:val="17"/>
              </w:rPr>
              <w:t>County Executive direction, planning meeting of Nov 5, 2026</w:t>
            </w:r>
          </w:p>
        </w:tc>
        <w:tc>
          <w:tcPr>
            <w:tcW w:type="dxa" w:w="11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County Executive</w:t>
            </w:r>
          </w:p>
        </w:tc>
        <w:tc>
          <w:tcPr>
            <w:tcW w:type="dxa" w:w="2304"/>
            <w:tcMar>
              <w:top w:w="45" w:type="dxa"/>
              <w:left w:w="80" w:type="dxa"/>
              <w:bottom w:w="45" w:type="dxa"/>
              <w:right w:w="60" w:type="dxa"/>
            </w:tcMar>
            <w:vAlign w:val="top"/>
          </w:tcPr>
          <w:p>
            <w:pPr>
              <w:pStyle w:val="IGCell"/>
              <w:keepNext/>
              <w:spacing w:after="0"/>
            </w:pPr>
            <w:r>
              <w:rPr>
                <w:rFonts w:ascii="Arial" w:hAnsi="Arial" w:cs="Arial" w:eastAsia="Arial"/>
                <w:color w:val="192E43"/>
                <w:sz w:val="17"/>
              </w:rPr>
              <w:t>Signed agreement with Riverton and the Transit Authority. A working channel with the Nation.</w:t>
            </w:r>
          </w:p>
        </w:tc>
        <w:tc>
          <w:tcPr>
            <w:tcW w:type="dxa" w:w="1296"/>
            <w:tcMar>
              <w:top w:w="45" w:type="dxa"/>
              <w:left w:w="80" w:type="dxa"/>
              <w:bottom w:w="45" w:type="dxa"/>
              <w:right w:w="60" w:type="dxa"/>
            </w:tcMar>
            <w:vAlign w:val="top"/>
          </w:tcPr>
          <w:p>
            <w:pPr>
              <w:pStyle w:val="IGCell"/>
              <w:keepNext/>
              <w:spacing w:after="0"/>
            </w:pPr>
            <w:r>
              <w:rPr>
                <w:rFonts w:ascii="Arial" w:hAnsi="Arial" w:cs="Arial" w:eastAsia="Arial"/>
                <w:color w:val="192E43"/>
                <w:sz w:val="17"/>
              </w:rPr>
              <w:t>OBJ-4, OBJ-5</w:t>
            </w:r>
          </w:p>
        </w:tc>
      </w:tr>
      <w:tr>
        <w:trPr>
          <w:cantSplit w:val="true"/>
        </w:trPr>
        <w:tc>
          <w:tcPr>
            <w:tcW w:type="dxa" w:w="720"/>
            <w:tcMar>
              <w:top w:w="45" w:type="dxa"/>
              <w:left w:w="80" w:type="dxa"/>
              <w:bottom w:w="45" w:type="dxa"/>
              <w:right w:w="60" w:type="dxa"/>
            </w:tcMar>
            <w:vAlign w:val="top"/>
          </w:tcPr>
          <w:p>
            <w:pPr>
              <w:pStyle w:val="IGCell"/>
              <w:spacing w:after="0"/>
            </w:pPr>
            <w:r>
              <w:rPr>
                <w:rFonts w:ascii="Arial" w:hAnsi="Arial" w:cs="Arial" w:eastAsia="Arial"/>
                <w:b/>
                <w:color w:val="192E43"/>
                <w:sz w:val="17"/>
              </w:rPr>
              <w:t>EP-4</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7"/>
              </w:rPr>
              <w:t>Give leadership timely, consistent information on intergovernmental matters and clearer decisions.</w:t>
            </w:r>
          </w:p>
        </w:tc>
        <w:tc>
          <w:tcPr>
            <w:tcW w:type="dxa" w:w="1872"/>
            <w:tcMar>
              <w:top w:w="45" w:type="dxa"/>
              <w:left w:w="80" w:type="dxa"/>
              <w:bottom w:w="45" w:type="dxa"/>
              <w:right w:w="60" w:type="dxa"/>
            </w:tcMar>
            <w:vAlign w:val="top"/>
          </w:tcPr>
          <w:p>
            <w:pPr>
              <w:pStyle w:val="IGCell"/>
              <w:spacing w:after="0"/>
            </w:pPr>
            <w:r>
              <w:rPr>
                <w:rFonts w:ascii="Arial" w:hAnsi="Arial" w:cs="Arial" w:eastAsia="Arial"/>
                <w:color w:val="192E43"/>
                <w:sz w:val="17"/>
              </w:rPr>
              <w:t>Deputy County Executive, planning meeting of Nov 5, 2026</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Deputy County Executive</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7"/>
              </w:rPr>
              <w:t>One weekly decision list and one quarterly report in a standard format.</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7"/>
              </w:rPr>
              <w:t>OBJ-6</w:t>
            </w:r>
          </w:p>
        </w:tc>
      </w:tr>
    </w:tbl>
    <w:p>
      <w:pPr>
        <w:spacing w:after="80" w:line="144" w:lineRule="auto"/>
      </w:pPr>
    </w:p>
    <w:p>
      <w:pPr>
        <w:pStyle w:val="Heading2"/>
      </w:pPr>
      <w:r>
        <w:t>3.2 Decisions required from leadership</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736"/>
        <w:gridCol w:w="1440"/>
        <w:gridCol w:w="1224"/>
        <w:gridCol w:w="2736"/>
        <w:gridCol w:w="1512"/>
      </w:tblGrid>
      <w:tr>
        <w:trPr>
          <w:tblHeader w:val="true"/>
          <w:cantSplit w:val="true"/>
        </w:trPr>
        <w:tc>
          <w:tcPr>
            <w:tcW w:type="dxa" w:w="2736"/>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Decision</w:t>
            </w:r>
          </w:p>
        </w:tc>
        <w:tc>
          <w:tcPr>
            <w:tcW w:type="dxa" w:w="1440"/>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From</w:t>
            </w:r>
          </w:p>
        </w:tc>
        <w:tc>
          <w:tcPr>
            <w:tcW w:type="dxa" w:w="1224"/>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Needed by</w:t>
            </w:r>
          </w:p>
        </w:tc>
        <w:tc>
          <w:tcPr>
            <w:tcW w:type="dxa" w:w="2736"/>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Consequence of delay</w:t>
            </w:r>
          </w:p>
        </w:tc>
        <w:tc>
          <w:tcPr>
            <w:tcW w:type="dxa" w:w="151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Status</w:t>
            </w:r>
          </w:p>
        </w:tc>
      </w:tr>
      <w:tr>
        <w:trPr>
          <w:cantSplit w:val="true"/>
        </w:trPr>
        <w:tc>
          <w:tcPr>
            <w:tcW w:type="dxa" w:w="2736"/>
            <w:tcMar>
              <w:top w:w="45" w:type="dxa"/>
              <w:left w:w="80" w:type="dxa"/>
              <w:bottom w:w="45" w:type="dxa"/>
              <w:right w:w="60" w:type="dxa"/>
            </w:tcMar>
            <w:vAlign w:val="top"/>
          </w:tcPr>
          <w:p>
            <w:pPr>
              <w:pStyle w:val="IGCell"/>
              <w:spacing w:after="0"/>
            </w:pPr>
            <w:r>
              <w:rPr>
                <w:rFonts w:ascii="Arial" w:hAnsi="Arial" w:cs="Arial" w:eastAsia="Arial"/>
                <w:color w:val="192E43"/>
                <w:sz w:val="17"/>
              </w:rPr>
              <w:t>Authorize a negotiating range for the County share of the bridge match (ESC-01)</w:t>
            </w:r>
          </w:p>
        </w:tc>
        <w:tc>
          <w:tcPr>
            <w:tcW w:type="dxa" w:w="1440"/>
            <w:tcMar>
              <w:top w:w="45" w:type="dxa"/>
              <w:left w:w="80" w:type="dxa"/>
              <w:bottom w:w="45" w:type="dxa"/>
              <w:right w:w="60" w:type="dxa"/>
            </w:tcMar>
            <w:vAlign w:val="top"/>
          </w:tcPr>
          <w:p>
            <w:pPr>
              <w:pStyle w:val="IGCell"/>
              <w:spacing w:after="0"/>
            </w:pPr>
            <w:r>
              <w:rPr>
                <w:rFonts w:ascii="Arial" w:hAnsi="Arial" w:cs="Arial" w:eastAsia="Arial"/>
                <w:color w:val="192E43"/>
                <w:sz w:val="17"/>
              </w:rPr>
              <w:t>Executive Sponsor</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Apr 2, 2027</w:t>
            </w:r>
          </w:p>
        </w:tc>
        <w:tc>
          <w:tcPr>
            <w:tcW w:type="dxa" w:w="2736"/>
            <w:tcMar>
              <w:top w:w="45" w:type="dxa"/>
              <w:left w:w="80" w:type="dxa"/>
              <w:bottom w:w="45" w:type="dxa"/>
              <w:right w:w="60" w:type="dxa"/>
            </w:tcMar>
            <w:vAlign w:val="top"/>
          </w:tcPr>
          <w:p>
            <w:pPr>
              <w:pStyle w:val="IGCell"/>
              <w:spacing w:after="0"/>
            </w:pPr>
            <w:r>
              <w:rPr>
                <w:rFonts w:ascii="Arial" w:hAnsi="Arial" w:cs="Arial" w:eastAsia="Arial"/>
                <w:color w:val="192E43"/>
                <w:sz w:val="17"/>
              </w:rPr>
              <w:t>Term sheet cannot proceed with Riverton.</w:t>
            </w:r>
          </w:p>
        </w:tc>
        <w:tc>
          <w:tcPr>
            <w:tcW w:type="dxa" w:w="1512"/>
            <w:tcMar>
              <w:top w:w="45" w:type="dxa"/>
              <w:left w:w="80" w:type="dxa"/>
              <w:bottom w:w="45" w:type="dxa"/>
              <w:right w:w="60" w:type="dxa"/>
            </w:tcMar>
            <w:vAlign w:val="top"/>
          </w:tcPr>
          <w:p>
            <w:pPr>
              <w:pStyle w:val="IGCell"/>
              <w:spacing w:after="0"/>
            </w:pPr>
            <w:r>
              <w:rPr>
                <w:rFonts w:ascii="Arial" w:hAnsi="Arial" w:cs="Arial" w:eastAsia="Arial"/>
                <w:color w:val="192E43"/>
                <w:sz w:val="17"/>
              </w:rPr>
              <w:t>Decided Apr 1, 2027</w:t>
            </w:r>
          </w:p>
        </w:tc>
      </w:tr>
      <w:tr>
        <w:trPr>
          <w:cantSplit w:val="true"/>
        </w:trPr>
        <w:tc>
          <w:tcPr>
            <w:tcW w:type="dxa" w:w="2736"/>
            <w:tcMar>
              <w:top w:w="45" w:type="dxa"/>
              <w:left w:w="80" w:type="dxa"/>
              <w:bottom w:w="45" w:type="dxa"/>
              <w:right w:w="60" w:type="dxa"/>
            </w:tcMar>
            <w:vAlign w:val="top"/>
          </w:tcPr>
          <w:p>
            <w:pPr>
              <w:pStyle w:val="IGCell"/>
              <w:spacing w:after="0"/>
            </w:pPr>
            <w:r>
              <w:rPr>
                <w:rFonts w:ascii="Arial" w:hAnsi="Arial" w:cs="Arial" w:eastAsia="Arial"/>
                <w:color w:val="192E43"/>
                <w:sz w:val="17"/>
              </w:rPr>
              <w:t>Set the County position on HB 530 once the Budget Office estimate arrives (ESC-02)</w:t>
            </w:r>
          </w:p>
        </w:tc>
        <w:tc>
          <w:tcPr>
            <w:tcW w:type="dxa" w:w="1440"/>
            <w:tcMar>
              <w:top w:w="45" w:type="dxa"/>
              <w:left w:w="80" w:type="dxa"/>
              <w:bottom w:w="45" w:type="dxa"/>
              <w:right w:w="60" w:type="dxa"/>
            </w:tcMar>
            <w:vAlign w:val="top"/>
          </w:tcPr>
          <w:p>
            <w:pPr>
              <w:pStyle w:val="IGCell"/>
              <w:spacing w:after="0"/>
            </w:pPr>
            <w:r>
              <w:rPr>
                <w:rFonts w:ascii="Arial" w:hAnsi="Arial" w:cs="Arial" w:eastAsia="Arial"/>
                <w:color w:val="192E43"/>
                <w:sz w:val="17"/>
              </w:rPr>
              <w:t>Executive Sponsor</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Apr 9, 2027</w:t>
            </w:r>
          </w:p>
        </w:tc>
        <w:tc>
          <w:tcPr>
            <w:tcW w:type="dxa" w:w="2736"/>
            <w:tcMar>
              <w:top w:w="45" w:type="dxa"/>
              <w:left w:w="80" w:type="dxa"/>
              <w:bottom w:w="45" w:type="dxa"/>
              <w:right w:w="60" w:type="dxa"/>
            </w:tcMar>
            <w:vAlign w:val="top"/>
          </w:tcPr>
          <w:p>
            <w:pPr>
              <w:pStyle w:val="IGCell"/>
              <w:spacing w:after="0"/>
            </w:pPr>
            <w:r>
              <w:rPr>
                <w:rFonts w:ascii="Arial" w:hAnsi="Arial" w:cs="Arial" w:eastAsia="Arial"/>
                <w:color w:val="192E43"/>
                <w:sz w:val="17"/>
              </w:rPr>
              <w:t>The County cannot testify or brief on a bill that may reduce state road funds.</w:t>
            </w:r>
          </w:p>
        </w:tc>
        <w:tc>
          <w:tcPr>
            <w:tcW w:type="dxa" w:w="1512"/>
            <w:tcMar>
              <w:top w:w="45" w:type="dxa"/>
              <w:left w:w="80" w:type="dxa"/>
              <w:bottom w:w="45" w:type="dxa"/>
              <w:right w:w="60" w:type="dxa"/>
            </w:tcMar>
            <w:vAlign w:val="top"/>
          </w:tcPr>
          <w:p>
            <w:pPr>
              <w:pStyle w:val="IGCell"/>
              <w:spacing w:after="0"/>
            </w:pPr>
            <w:r>
              <w:rPr>
                <w:rFonts w:ascii="Arial" w:hAnsi="Arial" w:cs="Arial" w:eastAsia="Arial"/>
                <w:color w:val="192E43"/>
                <w:sz w:val="17"/>
              </w:rPr>
              <w:t>Open</w:t>
            </w:r>
          </w:p>
        </w:tc>
      </w:tr>
      <w:tr>
        <w:trPr>
          <w:cantSplit w:val="true"/>
        </w:trPr>
        <w:tc>
          <w:tcPr>
            <w:tcW w:type="dxa" w:w="2736"/>
            <w:tcMar>
              <w:top w:w="45" w:type="dxa"/>
              <w:left w:w="80" w:type="dxa"/>
              <w:bottom w:w="45" w:type="dxa"/>
              <w:right w:w="60" w:type="dxa"/>
            </w:tcMar>
            <w:vAlign w:val="top"/>
          </w:tcPr>
          <w:p>
            <w:pPr>
              <w:pStyle w:val="IGCell"/>
              <w:spacing w:after="0"/>
            </w:pPr>
            <w:r>
              <w:rPr>
                <w:rFonts w:ascii="Arial" w:hAnsi="Arial" w:cs="Arial" w:eastAsia="Arial"/>
                <w:color w:val="192E43"/>
                <w:sz w:val="17"/>
              </w:rPr>
              <w:t>Direct alternate match scenarios in case SB 214 fails or is amended (ESC-03)</w:t>
            </w:r>
          </w:p>
        </w:tc>
        <w:tc>
          <w:tcPr>
            <w:tcW w:type="dxa" w:w="1440"/>
            <w:tcMar>
              <w:top w:w="45" w:type="dxa"/>
              <w:left w:w="80" w:type="dxa"/>
              <w:bottom w:w="45" w:type="dxa"/>
              <w:right w:w="60" w:type="dxa"/>
            </w:tcMar>
            <w:vAlign w:val="top"/>
          </w:tcPr>
          <w:p>
            <w:pPr>
              <w:pStyle w:val="IGCell"/>
              <w:spacing w:after="0"/>
            </w:pPr>
            <w:r>
              <w:rPr>
                <w:rFonts w:ascii="Arial" w:hAnsi="Arial" w:cs="Arial" w:eastAsia="Arial"/>
                <w:color w:val="192E43"/>
                <w:sz w:val="17"/>
              </w:rPr>
              <w:t>County Executive</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Apr 16, 2027</w:t>
            </w:r>
          </w:p>
        </w:tc>
        <w:tc>
          <w:tcPr>
            <w:tcW w:type="dxa" w:w="2736"/>
            <w:tcMar>
              <w:top w:w="45" w:type="dxa"/>
              <w:left w:w="80" w:type="dxa"/>
              <w:bottom w:w="45" w:type="dxa"/>
              <w:right w:w="60" w:type="dxa"/>
            </w:tcMar>
            <w:vAlign w:val="top"/>
          </w:tcPr>
          <w:p>
            <w:pPr>
              <w:pStyle w:val="IGCell"/>
              <w:spacing w:after="0"/>
            </w:pPr>
            <w:r>
              <w:rPr>
                <w:rFonts w:ascii="Arial" w:hAnsi="Arial" w:cs="Arial" w:eastAsia="Arial"/>
                <w:color w:val="192E43"/>
                <w:sz w:val="17"/>
              </w:rPr>
              <w:t>No fallback before the governor's action window closes May 28.</w:t>
            </w:r>
          </w:p>
        </w:tc>
        <w:tc>
          <w:tcPr>
            <w:tcW w:type="dxa" w:w="1512"/>
            <w:tcMar>
              <w:top w:w="45" w:type="dxa"/>
              <w:left w:w="80" w:type="dxa"/>
              <w:bottom w:w="45" w:type="dxa"/>
              <w:right w:w="60" w:type="dxa"/>
            </w:tcMar>
            <w:vAlign w:val="top"/>
          </w:tcPr>
          <w:p>
            <w:pPr>
              <w:pStyle w:val="IGCell"/>
              <w:spacing w:after="0"/>
            </w:pPr>
            <w:r>
              <w:rPr>
                <w:rFonts w:ascii="Arial" w:hAnsi="Arial" w:cs="Arial" w:eastAsia="Arial"/>
                <w:color w:val="192E43"/>
                <w:sz w:val="17"/>
              </w:rPr>
              <w:t>Open</w:t>
            </w:r>
          </w:p>
        </w:tc>
      </w:tr>
      <w:tr>
        <w:trPr>
          <w:cantSplit w:val="true"/>
        </w:trPr>
        <w:tc>
          <w:tcPr>
            <w:tcW w:type="dxa" w:w="2736"/>
            <w:tcMar>
              <w:top w:w="45" w:type="dxa"/>
              <w:left w:w="80" w:type="dxa"/>
              <w:bottom w:w="45" w:type="dxa"/>
              <w:right w:w="60" w:type="dxa"/>
            </w:tcMar>
            <w:vAlign w:val="top"/>
          </w:tcPr>
          <w:p>
            <w:pPr>
              <w:pStyle w:val="IGCell"/>
              <w:spacing w:after="0"/>
            </w:pPr>
            <w:r>
              <w:rPr>
                <w:rFonts w:ascii="Arial" w:hAnsi="Arial" w:cs="Arial" w:eastAsia="Arial"/>
                <w:color w:val="192E43"/>
                <w:sz w:val="17"/>
              </w:rPr>
              <w:t>Sign the invitation letter to the Three Fords Tribal Chairperson (ESC-05)</w:t>
            </w:r>
          </w:p>
        </w:tc>
        <w:tc>
          <w:tcPr>
            <w:tcW w:type="dxa" w:w="1440"/>
            <w:tcMar>
              <w:top w:w="45" w:type="dxa"/>
              <w:left w:w="80" w:type="dxa"/>
              <w:bottom w:w="45" w:type="dxa"/>
              <w:right w:w="60" w:type="dxa"/>
            </w:tcMar>
            <w:vAlign w:val="top"/>
          </w:tcPr>
          <w:p>
            <w:pPr>
              <w:pStyle w:val="IGCell"/>
              <w:spacing w:after="0"/>
            </w:pPr>
            <w:r>
              <w:rPr>
                <w:rFonts w:ascii="Arial" w:hAnsi="Arial" w:cs="Arial" w:eastAsia="Arial"/>
                <w:color w:val="192E43"/>
                <w:sz w:val="17"/>
              </w:rPr>
              <w:t>County Executive</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Mar 22, 2027</w:t>
            </w:r>
          </w:p>
        </w:tc>
        <w:tc>
          <w:tcPr>
            <w:tcW w:type="dxa" w:w="2736"/>
            <w:tcMar>
              <w:top w:w="45" w:type="dxa"/>
              <w:left w:w="80" w:type="dxa"/>
              <w:bottom w:w="45" w:type="dxa"/>
              <w:right w:w="60" w:type="dxa"/>
            </w:tcMar>
            <w:vAlign w:val="top"/>
          </w:tcPr>
          <w:p>
            <w:pPr>
              <w:pStyle w:val="IGCell"/>
              <w:spacing w:after="0"/>
            </w:pPr>
            <w:r>
              <w:rPr>
                <w:rFonts w:ascii="Arial" w:hAnsi="Arial" w:cs="Arial" w:eastAsia="Arial"/>
                <w:color w:val="192E43"/>
                <w:sz w:val="17"/>
              </w:rPr>
              <w:t>The leader-level meeting targeted for May 21 cannot be scheduled.</w:t>
            </w:r>
          </w:p>
        </w:tc>
        <w:tc>
          <w:tcPr>
            <w:tcW w:type="dxa" w:w="1512"/>
            <w:tcMar>
              <w:top w:w="45" w:type="dxa"/>
              <w:left w:w="80" w:type="dxa"/>
              <w:bottom w:w="45" w:type="dxa"/>
              <w:right w:w="60" w:type="dxa"/>
            </w:tcMar>
            <w:vAlign w:val="top"/>
          </w:tcPr>
          <w:p>
            <w:pPr>
              <w:pStyle w:val="IGCell"/>
              <w:spacing w:after="0"/>
            </w:pPr>
            <w:r>
              <w:rPr>
                <w:rFonts w:ascii="Arial" w:hAnsi="Arial" w:cs="Arial" w:eastAsia="Arial"/>
                <w:color w:val="192E43"/>
                <w:sz w:val="17"/>
              </w:rPr>
              <w:t>Open, past due</w:t>
            </w:r>
          </w:p>
        </w:tc>
      </w:tr>
      <w:tr>
        <w:trPr>
          <w:cantSplit w:val="true"/>
        </w:trPr>
        <w:tc>
          <w:tcPr>
            <w:tcW w:type="dxa" w:w="2736"/>
            <w:tcMar>
              <w:top w:w="45" w:type="dxa"/>
              <w:left w:w="80" w:type="dxa"/>
              <w:bottom w:w="45" w:type="dxa"/>
              <w:right w:w="60" w:type="dxa"/>
            </w:tcMar>
            <w:vAlign w:val="top"/>
          </w:tcPr>
          <w:p>
            <w:pPr>
              <w:pStyle w:val="IGCell"/>
              <w:spacing w:after="0"/>
            </w:pPr>
            <w:r>
              <w:rPr>
                <w:rFonts w:ascii="Arial" w:hAnsi="Arial" w:cs="Arial" w:eastAsia="Arial"/>
                <w:color w:val="192E43"/>
                <w:sz w:val="17"/>
              </w:rPr>
              <w:t>Board decision on a match source if enabling authority fails (MS-015)</w:t>
            </w:r>
          </w:p>
        </w:tc>
        <w:tc>
          <w:tcPr>
            <w:tcW w:type="dxa" w:w="1440"/>
            <w:tcMar>
              <w:top w:w="45" w:type="dxa"/>
              <w:left w:w="80" w:type="dxa"/>
              <w:bottom w:w="45" w:type="dxa"/>
              <w:right w:w="60" w:type="dxa"/>
            </w:tcMar>
            <w:vAlign w:val="top"/>
          </w:tcPr>
          <w:p>
            <w:pPr>
              <w:pStyle w:val="IGCell"/>
              <w:spacing w:after="0"/>
            </w:pPr>
            <w:r>
              <w:rPr>
                <w:rFonts w:ascii="Arial" w:hAnsi="Arial" w:cs="Arial" w:eastAsia="Arial"/>
                <w:color w:val="192E43"/>
                <w:sz w:val="17"/>
              </w:rPr>
              <w:t>Board of Commissioners</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Jun 8, 2027</w:t>
            </w:r>
          </w:p>
        </w:tc>
        <w:tc>
          <w:tcPr>
            <w:tcW w:type="dxa" w:w="2736"/>
            <w:tcMar>
              <w:top w:w="45" w:type="dxa"/>
              <w:left w:w="80" w:type="dxa"/>
              <w:bottom w:w="45" w:type="dxa"/>
              <w:right w:w="60" w:type="dxa"/>
            </w:tcMar>
            <w:vAlign w:val="top"/>
          </w:tcPr>
          <w:p>
            <w:pPr>
              <w:pStyle w:val="IGCell"/>
              <w:spacing w:after="0"/>
            </w:pPr>
            <w:r>
              <w:rPr>
                <w:rFonts w:ascii="Arial" w:hAnsi="Arial" w:cs="Arial" w:eastAsia="Arial"/>
                <w:color w:val="192E43"/>
                <w:sz w:val="17"/>
              </w:rPr>
              <w:t>No match commitment is possible before the federal notice.</w:t>
            </w:r>
          </w:p>
        </w:tc>
        <w:tc>
          <w:tcPr>
            <w:tcW w:type="dxa" w:w="1512"/>
            <w:tcMar>
              <w:top w:w="45" w:type="dxa"/>
              <w:left w:w="80" w:type="dxa"/>
              <w:bottom w:w="45" w:type="dxa"/>
              <w:right w:w="60" w:type="dxa"/>
            </w:tcMar>
            <w:vAlign w:val="top"/>
          </w:tcPr>
          <w:p>
            <w:pPr>
              <w:pStyle w:val="IGCell"/>
              <w:spacing w:after="0"/>
            </w:pPr>
            <w:r>
              <w:rPr>
                <w:rFonts w:ascii="Arial" w:hAnsi="Arial" w:cs="Arial" w:eastAsia="Arial"/>
                <w:color w:val="192E43"/>
                <w:sz w:val="17"/>
              </w:rPr>
              <w:t>Open</w:t>
            </w:r>
          </w:p>
        </w:tc>
      </w:tr>
      <w:tr>
        <w:trPr>
          <w:cantSplit w:val="true"/>
        </w:trPr>
        <w:tc>
          <w:tcPr>
            <w:tcW w:type="dxa" w:w="2736"/>
            <w:tcMar>
              <w:top w:w="45" w:type="dxa"/>
              <w:left w:w="80" w:type="dxa"/>
              <w:bottom w:w="45" w:type="dxa"/>
              <w:right w:w="60" w:type="dxa"/>
            </w:tcMar>
            <w:vAlign w:val="top"/>
          </w:tcPr>
          <w:p>
            <w:pPr>
              <w:pStyle w:val="IGCell"/>
              <w:spacing w:after="0"/>
            </w:pPr>
            <w:r>
              <w:rPr>
                <w:rFonts w:ascii="Arial" w:hAnsi="Arial" w:cs="Arial" w:eastAsia="Arial"/>
                <w:color w:val="192E43"/>
                <w:sz w:val="17"/>
              </w:rPr>
              <w:t>Mid-year plan adjustment (MS-006)</w:t>
            </w:r>
          </w:p>
        </w:tc>
        <w:tc>
          <w:tcPr>
            <w:tcW w:type="dxa" w:w="1440"/>
            <w:tcMar>
              <w:top w:w="45" w:type="dxa"/>
              <w:left w:w="80" w:type="dxa"/>
              <w:bottom w:w="45" w:type="dxa"/>
              <w:right w:w="60" w:type="dxa"/>
            </w:tcMar>
            <w:vAlign w:val="top"/>
          </w:tcPr>
          <w:p>
            <w:pPr>
              <w:pStyle w:val="IGCell"/>
              <w:spacing w:after="0"/>
            </w:pPr>
            <w:r>
              <w:rPr>
                <w:rFonts w:ascii="Arial" w:hAnsi="Arial" w:cs="Arial" w:eastAsia="Arial"/>
                <w:color w:val="192E43"/>
                <w:sz w:val="17"/>
              </w:rPr>
              <w:t>County Executive</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Jul 22, 2027</w:t>
            </w:r>
          </w:p>
        </w:tc>
        <w:tc>
          <w:tcPr>
            <w:tcW w:type="dxa" w:w="2736"/>
            <w:tcMar>
              <w:top w:w="45" w:type="dxa"/>
              <w:left w:w="80" w:type="dxa"/>
              <w:bottom w:w="45" w:type="dxa"/>
              <w:right w:w="60" w:type="dxa"/>
            </w:tcMar>
            <w:vAlign w:val="top"/>
          </w:tcPr>
          <w:p>
            <w:pPr>
              <w:pStyle w:val="IGCell"/>
              <w:spacing w:after="0"/>
            </w:pPr>
            <w:r>
              <w:rPr>
                <w:rFonts w:ascii="Arial" w:hAnsi="Arial" w:cs="Arial" w:eastAsia="Arial"/>
                <w:color w:val="192E43"/>
                <w:sz w:val="17"/>
              </w:rPr>
              <w:t>Objectives and capacity stay set to January assumptions.</w:t>
            </w:r>
          </w:p>
        </w:tc>
        <w:tc>
          <w:tcPr>
            <w:tcW w:type="dxa" w:w="1512"/>
            <w:tcMar>
              <w:top w:w="45" w:type="dxa"/>
              <w:left w:w="80" w:type="dxa"/>
              <w:bottom w:w="45" w:type="dxa"/>
              <w:right w:w="60" w:type="dxa"/>
            </w:tcMar>
            <w:vAlign w:val="top"/>
          </w:tcPr>
          <w:p>
            <w:pPr>
              <w:pStyle w:val="IGCell"/>
              <w:spacing w:after="0"/>
            </w:pPr>
            <w:r>
              <w:rPr>
                <w:rFonts w:ascii="Arial" w:hAnsi="Arial" w:cs="Arial" w:eastAsia="Arial"/>
                <w:color w:val="192E43"/>
                <w:sz w:val="17"/>
              </w:rPr>
              <w:t>Open</w:t>
            </w:r>
          </w:p>
        </w:tc>
      </w:tr>
    </w:tbl>
    <w:p>
      <w:pPr>
        <w:spacing w:after="80" w:line="144" w:lineRule="auto"/>
      </w:pPr>
    </w:p>
    <w:p>
      <w:pPr>
        <w:pStyle w:val="IGSmall"/>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Practitioner note.  </w:t>
      </w:r>
      <w:r>
        <w:rPr>
          <w:rFonts w:ascii="Arial" w:hAnsi="Arial" w:cs="Arial" w:eastAsia="Arial"/>
          <w:color w:val="52606D"/>
          <w:sz w:val="17"/>
        </w:rPr>
        <w:t>Each decision names who decides, by when, and what is lost if they do not. Three are due within eight days of the report date or already past due. That is the reason they are in the plan and in the Escalations log: they are leadership's to make, not the office's to solve.</w:t>
      </w:r>
    </w:p>
    <w:p>
      <w:pPr>
        <w:pStyle w:val="Heading1"/>
      </w:pPr>
      <w:r>
        <w:t>4. Analysis of the Intergovernmental Environment</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Describes the governments, decisions, and calendar that will shape results, and the assumptions the plan rests on.</w:t>
      </w:r>
    </w:p>
    <w:p>
      <w:pPr>
        <w:pStyle w:val="Heading2"/>
      </w:pPr>
      <w:r>
        <w:t>4.1 Landscape by level of government</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872"/>
        <w:gridCol w:w="2736"/>
        <w:gridCol w:w="2736"/>
        <w:gridCol w:w="2304"/>
      </w:tblGrid>
      <w:tr>
        <w:trPr>
          <w:tblHeader w:val="true"/>
          <w:cantSplit w:val="true"/>
        </w:trPr>
        <w:tc>
          <w:tcPr>
            <w:tcW w:type="dxa" w:w="187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Level and institutions</w:t>
            </w:r>
          </w:p>
        </w:tc>
        <w:tc>
          <w:tcPr>
            <w:tcW w:type="dxa" w:w="273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Current activity</w:t>
            </w:r>
          </w:p>
        </w:tc>
        <w:tc>
          <w:tcPr>
            <w:tcW w:type="dxa" w:w="273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Opportunity and constraint</w:t>
            </w:r>
          </w:p>
        </w:tc>
        <w:tc>
          <w:tcPr>
            <w:tcW w:type="dxa" w:w="230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Implication for the plan</w:t>
            </w:r>
          </w:p>
        </w:tc>
      </w:tr>
      <w:tr>
        <w:trPr>
          <w:cantSplit w:val="true"/>
        </w:trPr>
        <w:tc>
          <w:tcPr>
            <w:tcW w:type="dxa" w:w="1872"/>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State legislature</w:t>
            </w:r>
          </w:p>
        </w:tc>
        <w:tc>
          <w:tcPr>
            <w:tcW w:type="dxa" w:w="2736"/>
            <w:tcMar>
              <w:top w:w="45" w:type="dxa"/>
              <w:left w:w="80" w:type="dxa"/>
              <w:bottom w:w="45" w:type="dxa"/>
              <w:right w:w="60" w:type="dxa"/>
            </w:tcMar>
            <w:vAlign w:val="top"/>
          </w:tcPr>
          <w:p>
            <w:pPr>
              <w:pStyle w:val="IGCell"/>
              <w:keepNext/>
              <w:spacing w:after="0"/>
            </w:pPr>
            <w:r>
              <w:rPr>
                <w:rFonts w:ascii="Arial" w:hAnsi="Arial" w:cs="Arial" w:eastAsia="Arial"/>
                <w:color w:val="192E43"/>
                <w:sz w:val="17"/>
              </w:rPr>
              <w:t>SB 214 passed the Senate Mar 10. HB 388 would make permitting and stormwater standards uniform. HB 530 would revise the road funding formula.</w:t>
            </w:r>
          </w:p>
        </w:tc>
        <w:tc>
          <w:tcPr>
            <w:tcW w:type="dxa" w:w="2736"/>
            <w:tcMar>
              <w:top w:w="45" w:type="dxa"/>
              <w:left w:w="80" w:type="dxa"/>
              <w:bottom w:w="45" w:type="dxa"/>
              <w:right w:w="60" w:type="dxa"/>
            </w:tcMar>
            <w:vAlign w:val="top"/>
          </w:tcPr>
          <w:p>
            <w:pPr>
              <w:pStyle w:val="IGCell"/>
              <w:keepNext/>
              <w:spacing w:after="0"/>
            </w:pPr>
            <w:r>
              <w:rPr>
                <w:rFonts w:ascii="Arial" w:hAnsi="Arial" w:cs="Arial" w:eastAsia="Arial"/>
                <w:color w:val="192E43"/>
                <w:sz w:val="17"/>
              </w:rPr>
              <w:t>Opportunity: authority to raise local match for the bridge.</w:t>
            </w:r>
          </w:p>
          <w:p>
            <w:pPr>
              <w:pStyle w:val="IGCell"/>
              <w:keepNext/>
              <w:spacing w:after="0" w:before="40"/>
            </w:pPr>
            <w:r>
              <w:rPr>
                <w:rFonts w:ascii="Arial" w:hAnsi="Arial" w:cs="Arial" w:eastAsia="Arial"/>
                <w:color w:val="192E43"/>
                <w:sz w:val="17"/>
              </w:rPr>
              <w:t>Constraint: preemption of local standards. Reduced state road funds.</w:t>
            </w:r>
          </w:p>
        </w:tc>
        <w:tc>
          <w:tcPr>
            <w:tcW w:type="dxa" w:w="2304"/>
            <w:tcMar>
              <w:top w:w="45" w:type="dxa"/>
              <w:left w:w="80" w:type="dxa"/>
              <w:bottom w:w="45" w:type="dxa"/>
              <w:right w:w="60" w:type="dxa"/>
            </w:tcMar>
            <w:vAlign w:val="top"/>
          </w:tcPr>
          <w:p>
            <w:pPr>
              <w:pStyle w:val="IGCell"/>
              <w:keepNext/>
              <w:spacing w:after="0"/>
            </w:pPr>
            <w:r>
              <w:rPr>
                <w:rFonts w:ascii="Arial" w:hAnsi="Arial" w:cs="Arial" w:eastAsia="Arial"/>
                <w:color w:val="192E43"/>
                <w:sz w:val="17"/>
              </w:rPr>
              <w:t>OBJ-1 and OBJ-2 carry most of the session effort.</w:t>
            </w:r>
          </w:p>
        </w:tc>
      </w:tr>
      <w:tr>
        <w:trPr>
          <w:cantSplit w:val="true"/>
        </w:trPr>
        <w:tc>
          <w:tcPr>
            <w:tcW w:type="dxa" w:w="1872"/>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State agencies</w:t>
            </w:r>
          </w:p>
        </w:tc>
        <w:tc>
          <w:tcPr>
            <w:tcW w:type="dxa" w:w="2736"/>
            <w:tcMar>
              <w:top w:w="45" w:type="dxa"/>
              <w:left w:w="80" w:type="dxa"/>
              <w:bottom w:w="45" w:type="dxa"/>
              <w:right w:w="60" w:type="dxa"/>
            </w:tcMar>
            <w:vAlign w:val="top"/>
          </w:tcPr>
          <w:p>
            <w:pPr>
              <w:pStyle w:val="IGCell"/>
              <w:keepNext/>
              <w:spacing w:after="0"/>
            </w:pPr>
            <w:r>
              <w:rPr>
                <w:rFonts w:ascii="Arial" w:hAnsi="Arial" w:cs="Arial" w:eastAsia="Arial"/>
                <w:color w:val="192E43"/>
                <w:sz w:val="17"/>
              </w:rPr>
              <w:t>State DOT runs the local bridge program. A state stormwater general permit is under revision.</w:t>
            </w:r>
          </w:p>
        </w:tc>
        <w:tc>
          <w:tcPr>
            <w:tcW w:type="dxa" w:w="2736"/>
            <w:tcMar>
              <w:top w:w="45" w:type="dxa"/>
              <w:left w:w="80" w:type="dxa"/>
              <w:bottom w:w="45" w:type="dxa"/>
              <w:right w:w="60" w:type="dxa"/>
            </w:tcMar>
            <w:vAlign w:val="top"/>
          </w:tcPr>
          <w:p>
            <w:pPr>
              <w:pStyle w:val="IGCell"/>
              <w:keepNext/>
              <w:spacing w:after="0"/>
            </w:pPr>
            <w:r>
              <w:rPr>
                <w:rFonts w:ascii="Arial" w:hAnsi="Arial" w:cs="Arial" w:eastAsia="Arial"/>
                <w:color w:val="192E43"/>
                <w:sz w:val="17"/>
              </w:rPr>
              <w:t>Opportunity: a State DOT match commitment strengthens the federal application.</w:t>
            </w:r>
          </w:p>
          <w:p>
            <w:pPr>
              <w:pStyle w:val="IGCell"/>
              <w:keepNext/>
              <w:spacing w:after="0" w:before="40"/>
            </w:pPr>
            <w:r>
              <w:rPr>
                <w:rFonts w:ascii="Arial" w:hAnsi="Arial" w:cs="Arial" w:eastAsia="Arial"/>
                <w:color w:val="192E43"/>
                <w:sz w:val="17"/>
              </w:rPr>
              <w:t>Constraint: State DOT says it commits match only after an executed local agreement.</w:t>
            </w:r>
          </w:p>
        </w:tc>
        <w:tc>
          <w:tcPr>
            <w:tcW w:type="dxa" w:w="2304"/>
            <w:tcMar>
              <w:top w:w="45" w:type="dxa"/>
              <w:left w:w="80" w:type="dxa"/>
              <w:bottom w:w="45" w:type="dxa"/>
              <w:right w:w="60" w:type="dxa"/>
            </w:tcMar>
            <w:vAlign w:val="top"/>
          </w:tcPr>
          <w:p>
            <w:pPr>
              <w:pStyle w:val="IGCell"/>
              <w:keepNext/>
              <w:spacing w:after="0"/>
            </w:pPr>
            <w:r>
              <w:rPr>
                <w:rFonts w:ascii="Arial" w:hAnsi="Arial" w:cs="Arial" w:eastAsia="Arial"/>
                <w:color w:val="192E43"/>
                <w:sz w:val="17"/>
              </w:rPr>
              <w:t>OBJ-3 depends on OBJ-4.</w:t>
            </w:r>
          </w:p>
        </w:tc>
      </w:tr>
      <w:tr>
        <w:trPr>
          <w:cantSplit w:val="true"/>
        </w:trPr>
        <w:tc>
          <w:tcPr>
            <w:tcW w:type="dxa" w:w="1872"/>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Federal agencies and Congress</w:t>
            </w:r>
          </w:p>
        </w:tc>
        <w:tc>
          <w:tcPr>
            <w:tcW w:type="dxa" w:w="2736"/>
            <w:tcMar>
              <w:top w:w="45" w:type="dxa"/>
              <w:left w:w="80" w:type="dxa"/>
              <w:bottom w:w="45" w:type="dxa"/>
              <w:right w:w="60" w:type="dxa"/>
            </w:tcMar>
            <w:vAlign w:val="top"/>
          </w:tcPr>
          <w:p>
            <w:pPr>
              <w:pStyle w:val="IGCell"/>
              <w:keepNext/>
              <w:spacing w:after="0"/>
            </w:pPr>
            <w:r>
              <w:rPr>
                <w:rFonts w:ascii="Arial" w:hAnsi="Arial" w:cs="Arial" w:eastAsia="Arial"/>
                <w:color w:val="192E43"/>
                <w:sz w:val="17"/>
              </w:rPr>
              <w:t>A discretionary bridge grant round is expected. A lead agency is scoping environmental review of the corridor.</w:t>
            </w:r>
          </w:p>
        </w:tc>
        <w:tc>
          <w:tcPr>
            <w:tcW w:type="dxa" w:w="2736"/>
            <w:tcMar>
              <w:top w:w="45" w:type="dxa"/>
              <w:left w:w="80" w:type="dxa"/>
              <w:bottom w:w="45" w:type="dxa"/>
              <w:right w:w="60" w:type="dxa"/>
            </w:tcMar>
            <w:vAlign w:val="top"/>
          </w:tcPr>
          <w:p>
            <w:pPr>
              <w:pStyle w:val="IGCell"/>
              <w:keepNext/>
              <w:spacing w:after="0"/>
            </w:pPr>
            <w:r>
              <w:rPr>
                <w:rFonts w:ascii="Arial" w:hAnsi="Arial" w:cs="Arial" w:eastAsia="Arial"/>
                <w:color w:val="192E43"/>
                <w:sz w:val="17"/>
              </w:rPr>
              <w:t>Opportunity: competitive application with committed match.</w:t>
            </w:r>
          </w:p>
          <w:p>
            <w:pPr>
              <w:pStyle w:val="IGCell"/>
              <w:keepNext/>
              <w:spacing w:after="0" w:before="40"/>
            </w:pPr>
            <w:r>
              <w:rPr>
                <w:rFonts w:ascii="Arial" w:hAnsi="Arial" w:cs="Arial" w:eastAsia="Arial"/>
                <w:color w:val="192E43"/>
                <w:sz w:val="17"/>
              </w:rPr>
              <w:t>Constraint: notice date unconfirmed. Competing applications.</w:t>
            </w:r>
          </w:p>
        </w:tc>
        <w:tc>
          <w:tcPr>
            <w:tcW w:type="dxa" w:w="2304"/>
            <w:tcMar>
              <w:top w:w="45" w:type="dxa"/>
              <w:left w:w="80" w:type="dxa"/>
              <w:bottom w:w="45" w:type="dxa"/>
              <w:right w:w="60" w:type="dxa"/>
            </w:tcMar>
            <w:vAlign w:val="top"/>
          </w:tcPr>
          <w:p>
            <w:pPr>
              <w:pStyle w:val="IGCell"/>
              <w:keepNext/>
              <w:spacing w:after="0"/>
            </w:pPr>
            <w:r>
              <w:rPr>
                <w:rFonts w:ascii="Arial" w:hAnsi="Arial" w:cs="Arial" w:eastAsia="Arial"/>
                <w:color w:val="192E43"/>
                <w:sz w:val="17"/>
              </w:rPr>
              <w:t>Plan assumes notice by Jun 15 and applications due Sep 30.</w:t>
            </w:r>
          </w:p>
        </w:tc>
      </w:tr>
      <w:tr>
        <w:trPr>
          <w:cantSplit w:val="true"/>
        </w:trPr>
        <w:tc>
          <w:tcPr>
            <w:tcW w:type="dxa" w:w="1872"/>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Tribal government</w:t>
            </w:r>
          </w:p>
        </w:tc>
        <w:tc>
          <w:tcPr>
            <w:tcW w:type="dxa" w:w="2736"/>
            <w:tcMar>
              <w:top w:w="45" w:type="dxa"/>
              <w:left w:w="80" w:type="dxa"/>
              <w:bottom w:w="45" w:type="dxa"/>
              <w:right w:w="60" w:type="dxa"/>
            </w:tcMar>
            <w:vAlign w:val="top"/>
          </w:tcPr>
          <w:p>
            <w:pPr>
              <w:pStyle w:val="IGCell"/>
              <w:keepNext/>
              <w:spacing w:after="0"/>
            </w:pPr>
            <w:r>
              <w:rPr>
                <w:rFonts w:ascii="Arial" w:hAnsi="Arial" w:cs="Arial" w:eastAsia="Arial"/>
                <w:color w:val="192E43"/>
                <w:sz w:val="17"/>
              </w:rPr>
              <w:t>The Three Fords Tribal Nation has interests along the east-bank corridor. No standing coordination exists.</w:t>
            </w:r>
          </w:p>
        </w:tc>
        <w:tc>
          <w:tcPr>
            <w:tcW w:type="dxa" w:w="2736"/>
            <w:tcMar>
              <w:top w:w="45" w:type="dxa"/>
              <w:left w:w="80" w:type="dxa"/>
              <w:bottom w:w="45" w:type="dxa"/>
              <w:right w:w="60" w:type="dxa"/>
            </w:tcMar>
            <w:vAlign w:val="top"/>
          </w:tcPr>
          <w:p>
            <w:pPr>
              <w:pStyle w:val="IGCell"/>
              <w:keepNext/>
              <w:spacing w:after="0"/>
            </w:pPr>
            <w:r>
              <w:rPr>
                <w:rFonts w:ascii="Arial" w:hAnsi="Arial" w:cs="Arial" w:eastAsia="Arial"/>
                <w:color w:val="192E43"/>
                <w:sz w:val="17"/>
              </w:rPr>
              <w:t>Opportunity: early coordination before federal scoping closes.</w:t>
            </w:r>
          </w:p>
          <w:p>
            <w:pPr>
              <w:pStyle w:val="IGCell"/>
              <w:keepNext/>
              <w:spacing w:after="0" w:before="40"/>
            </w:pPr>
            <w:r>
              <w:rPr>
                <w:rFonts w:ascii="Arial" w:hAnsi="Arial" w:cs="Arial" w:eastAsia="Arial"/>
                <w:color w:val="192E43"/>
                <w:sz w:val="17"/>
              </w:rPr>
              <w:t>Constraint: staff-level contact only. A written invitation from the County Executive is needed.</w:t>
            </w:r>
          </w:p>
        </w:tc>
        <w:tc>
          <w:tcPr>
            <w:tcW w:type="dxa" w:w="2304"/>
            <w:tcMar>
              <w:top w:w="45" w:type="dxa"/>
              <w:left w:w="80" w:type="dxa"/>
              <w:bottom w:w="45" w:type="dxa"/>
              <w:right w:w="60" w:type="dxa"/>
            </w:tcMar>
            <w:vAlign w:val="top"/>
          </w:tcPr>
          <w:p>
            <w:pPr>
              <w:pStyle w:val="IGCell"/>
              <w:keepNext/>
              <w:spacing w:after="0"/>
            </w:pPr>
            <w:r>
              <w:rPr>
                <w:rFonts w:ascii="Arial" w:hAnsi="Arial" w:cs="Arial" w:eastAsia="Arial"/>
                <w:color w:val="192E43"/>
                <w:sz w:val="17"/>
              </w:rPr>
              <w:t>OBJ-5 and ADM-03.</w:t>
            </w:r>
          </w:p>
        </w:tc>
      </w:tr>
      <w:tr>
        <w:trPr>
          <w:cantSplit w:val="true"/>
        </w:trPr>
        <w:tc>
          <w:tcPr>
            <w:tcW w:type="dxa" w:w="1872"/>
            <w:tcMar>
              <w:top w:w="45" w:type="dxa"/>
              <w:left w:w="80" w:type="dxa"/>
              <w:bottom w:w="45" w:type="dxa"/>
              <w:right w:w="60" w:type="dxa"/>
            </w:tcMar>
            <w:vAlign w:val="top"/>
          </w:tcPr>
          <w:p>
            <w:pPr>
              <w:pStyle w:val="IGCell"/>
              <w:spacing w:after="0"/>
            </w:pPr>
            <w:r>
              <w:rPr>
                <w:rFonts w:ascii="Arial" w:hAnsi="Arial" w:cs="Arial" w:eastAsia="Arial"/>
                <w:b/>
                <w:color w:val="192E43"/>
                <w:sz w:val="17"/>
              </w:rPr>
              <w:t>Regional and local governments</w:t>
            </w:r>
          </w:p>
        </w:tc>
        <w:tc>
          <w:tcPr>
            <w:tcW w:type="dxa" w:w="2736"/>
            <w:tcMar>
              <w:top w:w="45" w:type="dxa"/>
              <w:left w:w="80" w:type="dxa"/>
              <w:bottom w:w="45" w:type="dxa"/>
              <w:right w:w="60" w:type="dxa"/>
            </w:tcMar>
            <w:vAlign w:val="top"/>
          </w:tcPr>
          <w:p>
            <w:pPr>
              <w:pStyle w:val="IGCell"/>
              <w:spacing w:after="0"/>
            </w:pPr>
            <w:r>
              <w:rPr>
                <w:rFonts w:ascii="Arial" w:hAnsi="Arial" w:cs="Arial" w:eastAsia="Arial"/>
                <w:color w:val="192E43"/>
                <w:sz w:val="17"/>
              </w:rPr>
              <w:t>Riverton City and the Transit Authority are bridge partners. Harlan County may seek the same federal round.</w:t>
            </w:r>
          </w:p>
        </w:tc>
        <w:tc>
          <w:tcPr>
            <w:tcW w:type="dxa" w:w="2736"/>
            <w:tcMar>
              <w:top w:w="45" w:type="dxa"/>
              <w:left w:w="80" w:type="dxa"/>
              <w:bottom w:w="45" w:type="dxa"/>
              <w:right w:w="60" w:type="dxa"/>
            </w:tcMar>
            <w:vAlign w:val="top"/>
          </w:tcPr>
          <w:p>
            <w:pPr>
              <w:pStyle w:val="IGCell"/>
              <w:spacing w:after="0"/>
            </w:pPr>
            <w:r>
              <w:rPr>
                <w:rFonts w:ascii="Arial" w:hAnsi="Arial" w:cs="Arial" w:eastAsia="Arial"/>
                <w:color w:val="192E43"/>
                <w:sz w:val="17"/>
              </w:rPr>
              <w:t>Opportunity: shared cost and a regional case for funding.</w:t>
            </w:r>
          </w:p>
          <w:p>
            <w:pPr>
              <w:pStyle w:val="IGCell"/>
              <w:spacing w:after="0" w:before="40"/>
            </w:pPr>
            <w:r>
              <w:rPr>
                <w:rFonts w:ascii="Arial" w:hAnsi="Arial" w:cs="Arial" w:eastAsia="Arial"/>
                <w:color w:val="192E43"/>
                <w:sz w:val="17"/>
              </w:rPr>
              <w:t>Constraint: cost allocation is disputed. Harlan overlap is unaddressed.</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7"/>
              </w:rPr>
              <w:t>OBJ-4 and the Harlan milestone under OBJ-3.</w:t>
            </w:r>
          </w:p>
        </w:tc>
      </w:tr>
    </w:tbl>
    <w:p>
      <w:pPr>
        <w:spacing w:after="80" w:line="144" w:lineRule="auto"/>
      </w:pPr>
    </w:p>
    <w:p>
      <w:pPr>
        <w:pStyle w:val="Heading2"/>
      </w:pPr>
      <w:r>
        <w:t>4.2 Interests and alignment</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728"/>
        <w:gridCol w:w="2448"/>
        <w:gridCol w:w="2880"/>
        <w:gridCol w:w="2592"/>
      </w:tblGrid>
      <w:tr>
        <w:trPr>
          <w:tblHeader w:val="true"/>
          <w:cantSplit w:val="true"/>
        </w:trPr>
        <w:tc>
          <w:tcPr>
            <w:tcW w:type="dxa" w:w="172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Government</w:t>
            </w:r>
          </w:p>
        </w:tc>
        <w:tc>
          <w:tcPr>
            <w:tcW w:type="dxa" w:w="244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What it wants</w:t>
            </w:r>
          </w:p>
        </w:tc>
        <w:tc>
          <w:tcPr>
            <w:tcW w:type="dxa" w:w="288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Where we align and diverge</w:t>
            </w:r>
          </w:p>
        </w:tc>
        <w:tc>
          <w:tcPr>
            <w:tcW w:type="dxa" w:w="259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Our leverage or offer</w:t>
            </w:r>
          </w:p>
        </w:tc>
      </w:tr>
      <w:tr>
        <w:trPr>
          <w:cantSplit w:val="true"/>
        </w:trPr>
        <w:tc>
          <w:tcPr>
            <w:tcW w:type="dxa" w:w="1728"/>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Riverton City</w:t>
            </w:r>
          </w:p>
        </w:tc>
        <w:tc>
          <w:tcPr>
            <w:tcW w:type="dxa" w:w="2448"/>
            <w:tcMar>
              <w:top w:w="45" w:type="dxa"/>
              <w:left w:w="80" w:type="dxa"/>
              <w:bottom w:w="45" w:type="dxa"/>
              <w:right w:w="60" w:type="dxa"/>
            </w:tcMar>
            <w:vAlign w:val="top"/>
          </w:tcPr>
          <w:p>
            <w:pPr>
              <w:pStyle w:val="IGCell"/>
              <w:keepNext/>
              <w:spacing w:after="0"/>
            </w:pPr>
            <w:r>
              <w:rPr>
                <w:rFonts w:ascii="Arial" w:hAnsi="Arial" w:cs="Arial" w:eastAsia="Arial"/>
                <w:color w:val="192E43"/>
                <w:sz w:val="17"/>
              </w:rPr>
              <w:t>A share of any new local-option revenue. Cost allocation favorable to the city.</w:t>
            </w:r>
          </w:p>
        </w:tc>
        <w:tc>
          <w:tcPr>
            <w:tcW w:type="dxa" w:w="2880"/>
            <w:tcMar>
              <w:top w:w="45" w:type="dxa"/>
              <w:left w:w="80" w:type="dxa"/>
              <w:bottom w:w="45" w:type="dxa"/>
              <w:right w:w="60" w:type="dxa"/>
            </w:tcMar>
            <w:vAlign w:val="top"/>
          </w:tcPr>
          <w:p>
            <w:pPr>
              <w:pStyle w:val="IGCell"/>
              <w:keepNext/>
              <w:spacing w:after="0"/>
            </w:pPr>
            <w:r>
              <w:rPr>
                <w:rFonts w:ascii="Arial" w:hAnsi="Arial" w:cs="Arial" w:eastAsia="Arial"/>
                <w:color w:val="192E43"/>
                <w:sz w:val="17"/>
              </w:rPr>
              <w:t>Aligned: replacement of the Calloway River Bridge.</w:t>
            </w:r>
          </w:p>
          <w:p>
            <w:pPr>
              <w:pStyle w:val="IGCell"/>
              <w:keepNext/>
              <w:spacing w:after="0" w:before="40"/>
            </w:pPr>
            <w:r>
              <w:rPr>
                <w:rFonts w:ascii="Arial" w:hAnsi="Arial" w:cs="Arial" w:eastAsia="Arial"/>
                <w:color w:val="192E43"/>
                <w:sz w:val="17"/>
              </w:rPr>
              <w:t>Diverges: mandatory distribution share. Allocation of the nonfederal match.</w:t>
            </w:r>
          </w:p>
        </w:tc>
        <w:tc>
          <w:tcPr>
            <w:tcW w:type="dxa" w:w="2592"/>
            <w:tcMar>
              <w:top w:w="45" w:type="dxa"/>
              <w:left w:w="80" w:type="dxa"/>
              <w:bottom w:w="45" w:type="dxa"/>
              <w:right w:w="60" w:type="dxa"/>
            </w:tcMar>
            <w:vAlign w:val="top"/>
          </w:tcPr>
          <w:p>
            <w:pPr>
              <w:pStyle w:val="IGCell"/>
              <w:keepNext/>
              <w:spacing w:after="0"/>
            </w:pPr>
            <w:r>
              <w:rPr>
                <w:rFonts w:ascii="Arial" w:hAnsi="Arial" w:cs="Arial" w:eastAsia="Arial"/>
                <w:color w:val="192E43"/>
                <w:sz w:val="17"/>
              </w:rPr>
              <w:t>Early agreement on the County share. A joint federal case.</w:t>
            </w:r>
          </w:p>
        </w:tc>
      </w:tr>
      <w:tr>
        <w:trPr>
          <w:cantSplit w:val="true"/>
        </w:trPr>
        <w:tc>
          <w:tcPr>
            <w:tcW w:type="dxa" w:w="1728"/>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Harlan County</w:t>
            </w:r>
          </w:p>
        </w:tc>
        <w:tc>
          <w:tcPr>
            <w:tcW w:type="dxa" w:w="2448"/>
            <w:tcMar>
              <w:top w:w="45" w:type="dxa"/>
              <w:left w:w="80" w:type="dxa"/>
              <w:bottom w:w="45" w:type="dxa"/>
              <w:right w:w="60" w:type="dxa"/>
            </w:tcMar>
            <w:vAlign w:val="top"/>
          </w:tcPr>
          <w:p>
            <w:pPr>
              <w:pStyle w:val="IGCell"/>
              <w:keepNext/>
              <w:spacing w:after="0"/>
            </w:pPr>
            <w:r>
              <w:rPr>
                <w:rFonts w:ascii="Arial" w:hAnsi="Arial" w:cs="Arial" w:eastAsia="Arial"/>
                <w:color w:val="192E43"/>
                <w:sz w:val="17"/>
              </w:rPr>
              <w:t>Federal funds for its own bridge project.</w:t>
            </w:r>
          </w:p>
        </w:tc>
        <w:tc>
          <w:tcPr>
            <w:tcW w:type="dxa" w:w="2880"/>
            <w:tcMar>
              <w:top w:w="45" w:type="dxa"/>
              <w:left w:w="80" w:type="dxa"/>
              <w:bottom w:w="45" w:type="dxa"/>
              <w:right w:w="60" w:type="dxa"/>
            </w:tcMar>
            <w:vAlign w:val="top"/>
          </w:tcPr>
          <w:p>
            <w:pPr>
              <w:pStyle w:val="IGCell"/>
              <w:keepNext/>
              <w:spacing w:after="0"/>
            </w:pPr>
            <w:r>
              <w:rPr>
                <w:rFonts w:ascii="Arial" w:hAnsi="Arial" w:cs="Arial" w:eastAsia="Arial"/>
                <w:color w:val="192E43"/>
                <w:sz w:val="17"/>
              </w:rPr>
              <w:t>Aligned: support for state bridge program funding.</w:t>
            </w:r>
          </w:p>
          <w:p>
            <w:pPr>
              <w:pStyle w:val="IGCell"/>
              <w:keepNext/>
              <w:spacing w:after="0" w:before="40"/>
            </w:pPr>
            <w:r>
              <w:rPr>
                <w:rFonts w:ascii="Arial" w:hAnsi="Arial" w:cs="Arial" w:eastAsia="Arial"/>
                <w:color w:val="192E43"/>
                <w:sz w:val="17"/>
              </w:rPr>
              <w:t>Diverges: competing request in the same federal round.</w:t>
            </w:r>
          </w:p>
        </w:tc>
        <w:tc>
          <w:tcPr>
            <w:tcW w:type="dxa" w:w="2592"/>
            <w:tcMar>
              <w:top w:w="45" w:type="dxa"/>
              <w:left w:w="80" w:type="dxa"/>
              <w:bottom w:w="45" w:type="dxa"/>
              <w:right w:w="60" w:type="dxa"/>
            </w:tcMar>
            <w:vAlign w:val="top"/>
          </w:tcPr>
          <w:p>
            <w:pPr>
              <w:pStyle w:val="IGCell"/>
              <w:keepNext/>
              <w:spacing w:after="0"/>
            </w:pPr>
            <w:r>
              <w:rPr>
                <w:rFonts w:ascii="Arial" w:hAnsi="Arial" w:cs="Arial" w:eastAsia="Arial"/>
                <w:color w:val="192E43"/>
                <w:sz w:val="17"/>
              </w:rPr>
              <w:t>Coordinated letters. Shared advocacy for program funding.</w:t>
            </w:r>
          </w:p>
        </w:tc>
      </w:tr>
      <w:tr>
        <w:trPr>
          <w:cantSplit w:val="true"/>
        </w:trPr>
        <w:tc>
          <w:tcPr>
            <w:tcW w:type="dxa" w:w="1728"/>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Three Fords Tribal Nation</w:t>
            </w:r>
          </w:p>
        </w:tc>
        <w:tc>
          <w:tcPr>
            <w:tcW w:type="dxa" w:w="2448"/>
            <w:tcMar>
              <w:top w:w="45" w:type="dxa"/>
              <w:left w:w="80" w:type="dxa"/>
              <w:bottom w:w="45" w:type="dxa"/>
              <w:right w:w="60" w:type="dxa"/>
            </w:tcMar>
            <w:vAlign w:val="top"/>
          </w:tcPr>
          <w:p>
            <w:pPr>
              <w:pStyle w:val="IGCell"/>
              <w:keepNext/>
              <w:spacing w:after="0"/>
            </w:pPr>
            <w:r>
              <w:rPr>
                <w:rFonts w:ascii="Arial" w:hAnsi="Arial" w:cs="Arial" w:eastAsia="Arial"/>
                <w:color w:val="192E43"/>
                <w:sz w:val="17"/>
              </w:rPr>
              <w:t>Government-to-government engagement. Protection of resources along the east bank.</w:t>
            </w:r>
          </w:p>
        </w:tc>
        <w:tc>
          <w:tcPr>
            <w:tcW w:type="dxa" w:w="2880"/>
            <w:tcMar>
              <w:top w:w="45" w:type="dxa"/>
              <w:left w:w="80" w:type="dxa"/>
              <w:bottom w:w="45" w:type="dxa"/>
              <w:right w:w="60" w:type="dxa"/>
            </w:tcMar>
            <w:vAlign w:val="top"/>
          </w:tcPr>
          <w:p>
            <w:pPr>
              <w:pStyle w:val="IGCell"/>
              <w:keepNext/>
              <w:spacing w:after="0"/>
            </w:pPr>
            <w:r>
              <w:rPr>
                <w:rFonts w:ascii="Arial" w:hAnsi="Arial" w:cs="Arial" w:eastAsia="Arial"/>
                <w:color w:val="192E43"/>
                <w:sz w:val="17"/>
              </w:rPr>
              <w:t>Aligned: interest in corridor planning that avoids harm.</w:t>
            </w:r>
          </w:p>
          <w:p>
            <w:pPr>
              <w:pStyle w:val="IGCell"/>
              <w:keepNext/>
              <w:spacing w:after="0" w:before="40"/>
            </w:pPr>
            <w:r>
              <w:rPr>
                <w:rFonts w:ascii="Arial" w:hAnsi="Arial" w:cs="Arial" w:eastAsia="Arial"/>
                <w:color w:val="192E43"/>
                <w:sz w:val="17"/>
              </w:rPr>
              <w:t>Diverges: not yet known. Posture has not been assessed.</w:t>
            </w:r>
          </w:p>
        </w:tc>
        <w:tc>
          <w:tcPr>
            <w:tcW w:type="dxa" w:w="2592"/>
            <w:tcMar>
              <w:top w:w="45" w:type="dxa"/>
              <w:left w:w="80" w:type="dxa"/>
              <w:bottom w:w="45" w:type="dxa"/>
              <w:right w:w="60" w:type="dxa"/>
            </w:tcMar>
            <w:vAlign w:val="top"/>
          </w:tcPr>
          <w:p>
            <w:pPr>
              <w:pStyle w:val="IGCell"/>
              <w:keepNext/>
              <w:spacing w:after="0"/>
            </w:pPr>
            <w:r>
              <w:rPr>
                <w:rFonts w:ascii="Arial" w:hAnsi="Arial" w:cs="Arial" w:eastAsia="Arial"/>
                <w:color w:val="192E43"/>
                <w:sz w:val="17"/>
              </w:rPr>
              <w:t>Early engagement before federal scoping closes.</w:t>
            </w:r>
          </w:p>
        </w:tc>
      </w:tr>
      <w:tr>
        <w:trPr>
          <w:cantSplit w:val="true"/>
        </w:trPr>
        <w:tc>
          <w:tcPr>
            <w:tcW w:type="dxa" w:w="1728"/>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State DOT</w:t>
            </w:r>
          </w:p>
        </w:tc>
        <w:tc>
          <w:tcPr>
            <w:tcW w:type="dxa" w:w="2448"/>
            <w:tcMar>
              <w:top w:w="45" w:type="dxa"/>
              <w:left w:w="80" w:type="dxa"/>
              <w:bottom w:w="45" w:type="dxa"/>
              <w:right w:w="60" w:type="dxa"/>
            </w:tcMar>
            <w:vAlign w:val="top"/>
          </w:tcPr>
          <w:p>
            <w:pPr>
              <w:pStyle w:val="IGCell"/>
              <w:keepNext/>
              <w:spacing w:after="0"/>
            </w:pPr>
            <w:r>
              <w:rPr>
                <w:rFonts w:ascii="Arial" w:hAnsi="Arial" w:cs="Arial" w:eastAsia="Arial"/>
                <w:color w:val="192E43"/>
                <w:sz w:val="17"/>
              </w:rPr>
              <w:t>Local match secured before it commits state funds.</w:t>
            </w:r>
          </w:p>
        </w:tc>
        <w:tc>
          <w:tcPr>
            <w:tcW w:type="dxa" w:w="2880"/>
            <w:tcMar>
              <w:top w:w="45" w:type="dxa"/>
              <w:left w:w="80" w:type="dxa"/>
              <w:bottom w:w="45" w:type="dxa"/>
              <w:right w:w="60" w:type="dxa"/>
            </w:tcMar>
            <w:vAlign w:val="top"/>
          </w:tcPr>
          <w:p>
            <w:pPr>
              <w:pStyle w:val="IGCell"/>
              <w:keepNext/>
              <w:spacing w:after="0"/>
            </w:pPr>
            <w:r>
              <w:rPr>
                <w:rFonts w:ascii="Arial" w:hAnsi="Arial" w:cs="Arial" w:eastAsia="Arial"/>
                <w:color w:val="192E43"/>
                <w:sz w:val="17"/>
              </w:rPr>
              <w:t>Aligned: funding the bridge through the local bridge program.</w:t>
            </w:r>
          </w:p>
          <w:p>
            <w:pPr>
              <w:pStyle w:val="IGCell"/>
              <w:keepNext/>
              <w:spacing w:after="0" w:before="40"/>
            </w:pPr>
            <w:r>
              <w:rPr>
                <w:rFonts w:ascii="Arial" w:hAnsi="Arial" w:cs="Arial" w:eastAsia="Arial"/>
                <w:color w:val="192E43"/>
                <w:sz w:val="17"/>
              </w:rPr>
              <w:t>Diverges: form and timing of the commitment.</w:t>
            </w:r>
          </w:p>
        </w:tc>
        <w:tc>
          <w:tcPr>
            <w:tcW w:type="dxa" w:w="2592"/>
            <w:tcMar>
              <w:top w:w="45" w:type="dxa"/>
              <w:left w:w="80" w:type="dxa"/>
              <w:bottom w:w="45" w:type="dxa"/>
              <w:right w:w="60" w:type="dxa"/>
            </w:tcMar>
            <w:vAlign w:val="top"/>
          </w:tcPr>
          <w:p>
            <w:pPr>
              <w:pStyle w:val="IGCell"/>
              <w:keepNext/>
              <w:spacing w:after="0"/>
            </w:pPr>
            <w:r>
              <w:rPr>
                <w:rFonts w:ascii="Arial" w:hAnsi="Arial" w:cs="Arial" w:eastAsia="Arial"/>
                <w:color w:val="192E43"/>
                <w:sz w:val="17"/>
              </w:rPr>
              <w:t>An executed agreement and a formal request.</w:t>
            </w:r>
          </w:p>
        </w:tc>
      </w:tr>
      <w:tr>
        <w:trPr>
          <w:cantSplit w:val="true"/>
        </w:trPr>
        <w:tc>
          <w:tcPr>
            <w:tcW w:type="dxa" w:w="1728"/>
            <w:tcMar>
              <w:top w:w="45" w:type="dxa"/>
              <w:left w:w="80" w:type="dxa"/>
              <w:bottom w:w="45" w:type="dxa"/>
              <w:right w:w="60" w:type="dxa"/>
            </w:tcMar>
            <w:vAlign w:val="top"/>
          </w:tcPr>
          <w:p>
            <w:pPr>
              <w:pStyle w:val="IGCell"/>
              <w:spacing w:after="0"/>
            </w:pPr>
            <w:r>
              <w:rPr>
                <w:rFonts w:ascii="Arial" w:hAnsi="Arial" w:cs="Arial" w:eastAsia="Arial"/>
                <w:b/>
                <w:color w:val="192E43"/>
                <w:sz w:val="17"/>
              </w:rPr>
              <w:t>Marlow Association of Counties</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7"/>
              </w:rPr>
              <w:t>Local-option authority for all counties. Retention of local standards.</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Aligned: SB 214 and HB 388 positions.</w:t>
            </w:r>
          </w:p>
          <w:p>
            <w:pPr>
              <w:pStyle w:val="IGCell"/>
              <w:spacing w:after="0" w:before="40"/>
            </w:pPr>
            <w:r>
              <w:rPr>
                <w:rFonts w:ascii="Arial" w:hAnsi="Arial" w:cs="Arial" w:eastAsia="Arial"/>
                <w:color w:val="192E43"/>
                <w:sz w:val="17"/>
              </w:rPr>
              <w:t>Diverges: little. Prefers a statewide rate ceiling.</w:t>
            </w:r>
          </w:p>
        </w:tc>
        <w:tc>
          <w:tcPr>
            <w:tcW w:type="dxa" w:w="2592"/>
            <w:tcMar>
              <w:top w:w="45" w:type="dxa"/>
              <w:left w:w="80" w:type="dxa"/>
              <w:bottom w:w="45" w:type="dxa"/>
              <w:right w:w="60" w:type="dxa"/>
            </w:tcMar>
            <w:vAlign w:val="top"/>
          </w:tcPr>
          <w:p>
            <w:pPr>
              <w:pStyle w:val="IGCell"/>
              <w:spacing w:after="0"/>
            </w:pPr>
            <w:r>
              <w:rPr>
                <w:rFonts w:ascii="Arial" w:hAnsi="Arial" w:cs="Arial" w:eastAsia="Arial"/>
                <w:color w:val="192E43"/>
                <w:sz w:val="17"/>
              </w:rPr>
              <w:t>Bridge case studies and testimony.</w:t>
            </w:r>
          </w:p>
        </w:tc>
      </w:tr>
    </w:tbl>
    <w:p>
      <w:pPr>
        <w:spacing w:after="80" w:line="144" w:lineRule="auto"/>
      </w:pPr>
    </w:p>
    <w:p>
      <w:pPr>
        <w:pStyle w:val="Heading2"/>
      </w:pPr>
      <w:r>
        <w:t>4.3 External decision calendar</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368"/>
        <w:gridCol w:w="2880"/>
        <w:gridCol w:w="2304"/>
        <w:gridCol w:w="3096"/>
      </w:tblGrid>
      <w:tr>
        <w:trPr>
          <w:tblHeader w:val="true"/>
          <w:cantSplit w:val="true"/>
        </w:trPr>
        <w:tc>
          <w:tcPr>
            <w:tcW w:type="dxa" w:w="1368"/>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Date</w:t>
            </w:r>
          </w:p>
        </w:tc>
        <w:tc>
          <w:tcPr>
            <w:tcW w:type="dxa" w:w="2880"/>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Event</w:t>
            </w:r>
          </w:p>
        </w:tc>
        <w:tc>
          <w:tcPr>
            <w:tcW w:type="dxa" w:w="2304"/>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Who decides</w:t>
            </w:r>
          </w:p>
        </w:tc>
        <w:tc>
          <w:tcPr>
            <w:tcW w:type="dxa" w:w="3096"/>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Effect on the plan</w:t>
            </w:r>
          </w:p>
        </w:tc>
      </w:tr>
      <w:tr>
        <w:trPr>
          <w:cantSplit w:val="true"/>
        </w:trPr>
        <w:tc>
          <w:tcPr>
            <w:tcW w:type="dxa" w:w="1368"/>
            <w:tcMar>
              <w:top w:w="45" w:type="dxa"/>
              <w:left w:w="80" w:type="dxa"/>
              <w:bottom w:w="45" w:type="dxa"/>
              <w:right w:w="60" w:type="dxa"/>
            </w:tcMar>
            <w:vAlign w:val="top"/>
          </w:tcPr>
          <w:p>
            <w:pPr>
              <w:pStyle w:val="IGCell"/>
              <w:spacing w:after="0"/>
            </w:pPr>
            <w:r>
              <w:rPr>
                <w:rFonts w:ascii="Arial" w:hAnsi="Arial" w:cs="Arial" w:eastAsia="Arial"/>
                <w:color w:val="192E43"/>
                <w:sz w:val="17"/>
              </w:rPr>
              <w:t>Jan 12, 2027</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General Assembly convenes</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7"/>
              </w:rPr>
              <w:t>General Assembly</w:t>
            </w:r>
          </w:p>
        </w:tc>
        <w:tc>
          <w:tcPr>
            <w:tcW w:type="dxa" w:w="3096"/>
            <w:tcMar>
              <w:top w:w="45" w:type="dxa"/>
              <w:left w:w="80" w:type="dxa"/>
              <w:bottom w:w="45" w:type="dxa"/>
              <w:right w:w="60" w:type="dxa"/>
            </w:tcMar>
            <w:vAlign w:val="top"/>
          </w:tcPr>
          <w:p>
            <w:pPr>
              <w:pStyle w:val="IGCell"/>
              <w:spacing w:after="0"/>
            </w:pPr>
            <w:r>
              <w:rPr>
                <w:rFonts w:ascii="Arial" w:hAnsi="Arial" w:cs="Arial" w:eastAsia="Arial"/>
                <w:color w:val="192E43"/>
                <w:sz w:val="17"/>
              </w:rPr>
              <w:t>Opens the window for OBJ-1 and OBJ-2.</w:t>
            </w:r>
          </w:p>
        </w:tc>
      </w:tr>
      <w:tr>
        <w:trPr>
          <w:cantSplit w:val="true"/>
        </w:trPr>
        <w:tc>
          <w:tcPr>
            <w:tcW w:type="dxa" w:w="1368"/>
            <w:tcMar>
              <w:top w:w="45" w:type="dxa"/>
              <w:left w:w="80" w:type="dxa"/>
              <w:bottom w:w="45" w:type="dxa"/>
              <w:right w:w="60" w:type="dxa"/>
            </w:tcMar>
            <w:vAlign w:val="top"/>
          </w:tcPr>
          <w:p>
            <w:pPr>
              <w:pStyle w:val="IGCell"/>
              <w:spacing w:after="0"/>
            </w:pPr>
            <w:r>
              <w:rPr>
                <w:rFonts w:ascii="Arial" w:hAnsi="Arial" w:cs="Arial" w:eastAsia="Arial"/>
                <w:color w:val="192E43"/>
                <w:sz w:val="17"/>
              </w:rPr>
              <w:t>Mar 12, 2027</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House-of-origin deadline</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7"/>
              </w:rPr>
              <w:t>General Assembly</w:t>
            </w:r>
          </w:p>
        </w:tc>
        <w:tc>
          <w:tcPr>
            <w:tcW w:type="dxa" w:w="3096"/>
            <w:tcMar>
              <w:top w:w="45" w:type="dxa"/>
              <w:left w:w="80" w:type="dxa"/>
              <w:bottom w:w="45" w:type="dxa"/>
              <w:right w:w="60" w:type="dxa"/>
            </w:tcMar>
            <w:vAlign w:val="top"/>
          </w:tcPr>
          <w:p>
            <w:pPr>
              <w:pStyle w:val="IGCell"/>
              <w:spacing w:after="0"/>
            </w:pPr>
            <w:r>
              <w:rPr>
                <w:rFonts w:ascii="Arial" w:hAnsi="Arial" w:cs="Arial" w:eastAsia="Arial"/>
                <w:color w:val="192E43"/>
                <w:sz w:val="17"/>
              </w:rPr>
              <w:t>SB 214 passed its chamber of origin (MS-011).</w:t>
            </w:r>
          </w:p>
        </w:tc>
      </w:tr>
      <w:tr>
        <w:trPr>
          <w:cantSplit w:val="true"/>
        </w:trPr>
        <w:tc>
          <w:tcPr>
            <w:tcW w:type="dxa" w:w="1368"/>
            <w:tcMar>
              <w:top w:w="45" w:type="dxa"/>
              <w:left w:w="80" w:type="dxa"/>
              <w:bottom w:w="45" w:type="dxa"/>
              <w:right w:w="60" w:type="dxa"/>
            </w:tcMar>
            <w:vAlign w:val="top"/>
          </w:tcPr>
          <w:p>
            <w:pPr>
              <w:pStyle w:val="IGCell"/>
              <w:spacing w:after="0"/>
            </w:pPr>
            <w:r>
              <w:rPr>
                <w:rFonts w:ascii="Arial" w:hAnsi="Arial" w:cs="Arial" w:eastAsia="Arial"/>
                <w:color w:val="192E43"/>
                <w:sz w:val="17"/>
              </w:rPr>
              <w:t>Apr 14, 2027</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House committee vote on SB 214</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7"/>
              </w:rPr>
              <w:t>House committee</w:t>
            </w:r>
          </w:p>
        </w:tc>
        <w:tc>
          <w:tcPr>
            <w:tcW w:type="dxa" w:w="3096"/>
            <w:tcMar>
              <w:top w:w="45" w:type="dxa"/>
              <w:left w:w="80" w:type="dxa"/>
              <w:bottom w:w="45" w:type="dxa"/>
              <w:right w:w="60" w:type="dxa"/>
            </w:tcMar>
            <w:vAlign w:val="top"/>
          </w:tcPr>
          <w:p>
            <w:pPr>
              <w:pStyle w:val="IGCell"/>
              <w:spacing w:after="0"/>
            </w:pPr>
            <w:r>
              <w:rPr>
                <w:rFonts w:ascii="Arial" w:hAnsi="Arial" w:cs="Arial" w:eastAsia="Arial"/>
                <w:color w:val="192E43"/>
                <w:sz w:val="17"/>
              </w:rPr>
              <w:t>Critical milestone MS-012.</w:t>
            </w:r>
          </w:p>
        </w:tc>
      </w:tr>
      <w:tr>
        <w:trPr>
          <w:cantSplit w:val="true"/>
        </w:trPr>
        <w:tc>
          <w:tcPr>
            <w:tcW w:type="dxa" w:w="1368"/>
            <w:tcMar>
              <w:top w:w="45" w:type="dxa"/>
              <w:left w:w="80" w:type="dxa"/>
              <w:bottom w:w="45" w:type="dxa"/>
              <w:right w:w="60" w:type="dxa"/>
            </w:tcMar>
            <w:vAlign w:val="top"/>
          </w:tcPr>
          <w:p>
            <w:pPr>
              <w:pStyle w:val="IGCell"/>
              <w:spacing w:after="0"/>
            </w:pPr>
            <w:r>
              <w:rPr>
                <w:rFonts w:ascii="Arial" w:hAnsi="Arial" w:cs="Arial" w:eastAsia="Arial"/>
                <w:color w:val="192E43"/>
                <w:sz w:val="17"/>
              </w:rPr>
              <w:t>Apr 29, 2027</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Session adjourns</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7"/>
              </w:rPr>
              <w:t>General Assembly</w:t>
            </w:r>
          </w:p>
        </w:tc>
        <w:tc>
          <w:tcPr>
            <w:tcW w:type="dxa" w:w="3096"/>
            <w:tcMar>
              <w:top w:w="45" w:type="dxa"/>
              <w:left w:w="80" w:type="dxa"/>
              <w:bottom w:w="45" w:type="dxa"/>
              <w:right w:w="60" w:type="dxa"/>
            </w:tcMar>
            <w:vAlign w:val="top"/>
          </w:tcPr>
          <w:p>
            <w:pPr>
              <w:pStyle w:val="IGCell"/>
              <w:spacing w:after="0"/>
            </w:pPr>
            <w:r>
              <w:rPr>
                <w:rFonts w:ascii="Arial" w:hAnsi="Arial" w:cs="Arial" w:eastAsia="Arial"/>
                <w:color w:val="192E43"/>
                <w:sz w:val="17"/>
              </w:rPr>
              <w:t>Last day for final passage (MS-013).</w:t>
            </w:r>
          </w:p>
        </w:tc>
      </w:tr>
      <w:tr>
        <w:trPr>
          <w:cantSplit w:val="true"/>
        </w:trPr>
        <w:tc>
          <w:tcPr>
            <w:tcW w:type="dxa" w:w="1368"/>
            <w:tcMar>
              <w:top w:w="45" w:type="dxa"/>
              <w:left w:w="80" w:type="dxa"/>
              <w:bottom w:w="45" w:type="dxa"/>
              <w:right w:w="60" w:type="dxa"/>
            </w:tcMar>
            <w:vAlign w:val="top"/>
          </w:tcPr>
          <w:p>
            <w:pPr>
              <w:pStyle w:val="IGCell"/>
              <w:spacing w:after="0"/>
            </w:pPr>
            <w:r>
              <w:rPr>
                <w:rFonts w:ascii="Arial" w:hAnsi="Arial" w:cs="Arial" w:eastAsia="Arial"/>
                <w:color w:val="192E43"/>
                <w:sz w:val="17"/>
              </w:rPr>
              <w:t>May 28, 2027</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Governor action window closes</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7"/>
              </w:rPr>
              <w:t>Governor</w:t>
            </w:r>
          </w:p>
        </w:tc>
        <w:tc>
          <w:tcPr>
            <w:tcW w:type="dxa" w:w="3096"/>
            <w:tcMar>
              <w:top w:w="45" w:type="dxa"/>
              <w:left w:w="80" w:type="dxa"/>
              <w:bottom w:w="45" w:type="dxa"/>
              <w:right w:w="60" w:type="dxa"/>
            </w:tcMar>
            <w:vAlign w:val="top"/>
          </w:tcPr>
          <w:p>
            <w:pPr>
              <w:pStyle w:val="IGCell"/>
              <w:spacing w:after="0"/>
            </w:pPr>
            <w:r>
              <w:rPr>
                <w:rFonts w:ascii="Arial" w:hAnsi="Arial" w:cs="Arial" w:eastAsia="Arial"/>
                <w:color w:val="192E43"/>
                <w:sz w:val="17"/>
              </w:rPr>
              <w:t>OBJ-1 target date (MS-014).</w:t>
            </w:r>
          </w:p>
        </w:tc>
      </w:tr>
      <w:tr>
        <w:trPr>
          <w:cantSplit w:val="true"/>
        </w:trPr>
        <w:tc>
          <w:tcPr>
            <w:tcW w:type="dxa" w:w="1368"/>
            <w:tcMar>
              <w:top w:w="45" w:type="dxa"/>
              <w:left w:w="80" w:type="dxa"/>
              <w:bottom w:w="45" w:type="dxa"/>
              <w:right w:w="60" w:type="dxa"/>
            </w:tcMar>
            <w:vAlign w:val="top"/>
          </w:tcPr>
          <w:p>
            <w:pPr>
              <w:pStyle w:val="IGCell"/>
              <w:spacing w:after="0"/>
            </w:pPr>
            <w:r>
              <w:rPr>
                <w:rFonts w:ascii="Arial" w:hAnsi="Arial" w:cs="Arial" w:eastAsia="Arial"/>
                <w:color w:val="192E43"/>
                <w:sz w:val="17"/>
              </w:rPr>
              <w:t>Jun 15, 2027</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Federal funding notice (assumed)</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7"/>
              </w:rPr>
              <w:t>Federal agency</w:t>
            </w:r>
          </w:p>
        </w:tc>
        <w:tc>
          <w:tcPr>
            <w:tcW w:type="dxa" w:w="3096"/>
            <w:tcMar>
              <w:top w:w="45" w:type="dxa"/>
              <w:left w:w="80" w:type="dxa"/>
              <w:bottom w:w="45" w:type="dxa"/>
              <w:right w:w="60" w:type="dxa"/>
            </w:tcMar>
            <w:vAlign w:val="top"/>
          </w:tcPr>
          <w:p>
            <w:pPr>
              <w:pStyle w:val="IGCell"/>
              <w:spacing w:after="0"/>
            </w:pPr>
            <w:r>
              <w:rPr>
                <w:rFonts w:ascii="Arial" w:hAnsi="Arial" w:cs="Arial" w:eastAsia="Arial"/>
                <w:color w:val="192E43"/>
                <w:sz w:val="17"/>
              </w:rPr>
              <w:t>Starts application work in earnest. Unconfirmed.</w:t>
            </w:r>
          </w:p>
        </w:tc>
      </w:tr>
      <w:tr>
        <w:trPr>
          <w:cantSplit w:val="true"/>
        </w:trPr>
        <w:tc>
          <w:tcPr>
            <w:tcW w:type="dxa" w:w="1368"/>
            <w:tcMar>
              <w:top w:w="45" w:type="dxa"/>
              <w:left w:w="80" w:type="dxa"/>
              <w:bottom w:w="45" w:type="dxa"/>
              <w:right w:w="60" w:type="dxa"/>
            </w:tcMar>
            <w:vAlign w:val="top"/>
          </w:tcPr>
          <w:p>
            <w:pPr>
              <w:pStyle w:val="IGCell"/>
              <w:spacing w:after="0"/>
            </w:pPr>
            <w:r>
              <w:rPr>
                <w:rFonts w:ascii="Arial" w:hAnsi="Arial" w:cs="Arial" w:eastAsia="Arial"/>
                <w:color w:val="192E43"/>
                <w:sz w:val="17"/>
              </w:rPr>
              <w:t>Aug 17, 2027</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Governing bodies vote on the interlocal agreement</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7"/>
              </w:rPr>
              <w:t>Board, City Council, Transit Authority board</w:t>
            </w:r>
          </w:p>
        </w:tc>
        <w:tc>
          <w:tcPr>
            <w:tcW w:type="dxa" w:w="3096"/>
            <w:tcMar>
              <w:top w:w="45" w:type="dxa"/>
              <w:left w:w="80" w:type="dxa"/>
              <w:bottom w:w="45" w:type="dxa"/>
              <w:right w:w="60" w:type="dxa"/>
            </w:tcMar>
            <w:vAlign w:val="top"/>
          </w:tcPr>
          <w:p>
            <w:pPr>
              <w:pStyle w:val="IGCell"/>
              <w:spacing w:after="0"/>
            </w:pPr>
            <w:r>
              <w:rPr>
                <w:rFonts w:ascii="Arial" w:hAnsi="Arial" w:cs="Arial" w:eastAsia="Arial"/>
                <w:color w:val="192E43"/>
                <w:sz w:val="17"/>
              </w:rPr>
              <w:t>Needed for execution by Aug 31 (MS-029).</w:t>
            </w:r>
          </w:p>
        </w:tc>
      </w:tr>
      <w:tr>
        <w:trPr>
          <w:cantSplit w:val="true"/>
        </w:trPr>
        <w:tc>
          <w:tcPr>
            <w:tcW w:type="dxa" w:w="1368"/>
            <w:tcMar>
              <w:top w:w="45" w:type="dxa"/>
              <w:left w:w="80" w:type="dxa"/>
              <w:bottom w:w="45" w:type="dxa"/>
              <w:right w:w="60" w:type="dxa"/>
            </w:tcMar>
            <w:vAlign w:val="top"/>
          </w:tcPr>
          <w:p>
            <w:pPr>
              <w:pStyle w:val="IGCell"/>
              <w:spacing w:after="0"/>
            </w:pPr>
            <w:r>
              <w:rPr>
                <w:rFonts w:ascii="Arial" w:hAnsi="Arial" w:cs="Arial" w:eastAsia="Arial"/>
                <w:color w:val="192E43"/>
                <w:sz w:val="17"/>
              </w:rPr>
              <w:t>Sep 30, 2027</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Application deadline (assumed)</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7"/>
              </w:rPr>
              <w:t>Federal agency</w:t>
            </w:r>
          </w:p>
        </w:tc>
        <w:tc>
          <w:tcPr>
            <w:tcW w:type="dxa" w:w="3096"/>
            <w:tcMar>
              <w:top w:w="45" w:type="dxa"/>
              <w:left w:w="80" w:type="dxa"/>
              <w:bottom w:w="45" w:type="dxa"/>
              <w:right w:w="60" w:type="dxa"/>
            </w:tcMar>
            <w:vAlign w:val="top"/>
          </w:tcPr>
          <w:p>
            <w:pPr>
              <w:pStyle w:val="IGCell"/>
              <w:spacing w:after="0"/>
            </w:pPr>
            <w:r>
              <w:rPr>
                <w:rFonts w:ascii="Arial" w:hAnsi="Arial" w:cs="Arial" w:eastAsia="Arial"/>
                <w:color w:val="192E43"/>
                <w:sz w:val="17"/>
              </w:rPr>
              <w:t>OBJ-3 target date. Unconfirmed.</w:t>
            </w:r>
          </w:p>
        </w:tc>
      </w:tr>
      <w:tr>
        <w:trPr>
          <w:cantSplit w:val="true"/>
        </w:trPr>
        <w:tc>
          <w:tcPr>
            <w:tcW w:type="dxa" w:w="1368"/>
            <w:tcMar>
              <w:top w:w="45" w:type="dxa"/>
              <w:left w:w="80" w:type="dxa"/>
              <w:bottom w:w="45" w:type="dxa"/>
              <w:right w:w="60" w:type="dxa"/>
            </w:tcMar>
            <w:vAlign w:val="top"/>
          </w:tcPr>
          <w:p>
            <w:pPr>
              <w:pStyle w:val="IGCell"/>
              <w:spacing w:after="0"/>
            </w:pPr>
            <w:r>
              <w:rPr>
                <w:rFonts w:ascii="Arial" w:hAnsi="Arial" w:cs="Arial" w:eastAsia="Arial"/>
                <w:color w:val="192E43"/>
                <w:sz w:val="17"/>
              </w:rPr>
              <w:t>Nov 2027</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Riverton municipal election</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7"/>
              </w:rPr>
              <w:t>Riverton voters</w:t>
            </w:r>
          </w:p>
        </w:tc>
        <w:tc>
          <w:tcPr>
            <w:tcW w:type="dxa" w:w="3096"/>
            <w:tcMar>
              <w:top w:w="45" w:type="dxa"/>
              <w:left w:w="80" w:type="dxa"/>
              <w:bottom w:w="45" w:type="dxa"/>
              <w:right w:w="60" w:type="dxa"/>
            </w:tcMar>
            <w:vAlign w:val="top"/>
          </w:tcPr>
          <w:p>
            <w:pPr>
              <w:pStyle w:val="IGCell"/>
              <w:spacing w:after="0"/>
            </w:pPr>
            <w:r>
              <w:rPr>
                <w:rFonts w:ascii="Arial" w:hAnsi="Arial" w:cs="Arial" w:eastAsia="Arial"/>
                <w:color w:val="192E43"/>
                <w:sz w:val="17"/>
              </w:rPr>
              <w:t>A change of partners could reopen cost allocation.</w:t>
            </w:r>
          </w:p>
        </w:tc>
      </w:tr>
    </w:tbl>
    <w:p>
      <w:pPr>
        <w:spacing w:after="80" w:line="144" w:lineRule="auto"/>
      </w:pPr>
    </w:p>
    <w:p>
      <w:pPr>
        <w:pStyle w:val="Heading2"/>
      </w:pPr>
      <w:r>
        <w:t>4.4 Planning assumptions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3168"/>
        <w:gridCol w:w="2448"/>
        <w:gridCol w:w="1152"/>
        <w:gridCol w:w="2880"/>
      </w:tblGrid>
      <w:tr>
        <w:trPr>
          <w:tblHeader w:val="true"/>
          <w:cantSplit w:val="true"/>
        </w:trPr>
        <w:tc>
          <w:tcPr>
            <w:tcW w:type="dxa" w:w="316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Assumption</w:t>
            </w:r>
          </w:p>
        </w:tc>
        <w:tc>
          <w:tcPr>
            <w:tcW w:type="dxa" w:w="244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Basis</w:t>
            </w:r>
          </w:p>
        </w:tc>
        <w:tc>
          <w:tcPr>
            <w:tcW w:type="dxa" w:w="115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Confidence</w:t>
            </w:r>
          </w:p>
        </w:tc>
        <w:tc>
          <w:tcPr>
            <w:tcW w:type="dxa" w:w="288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If wrong</w:t>
            </w:r>
          </w:p>
        </w:tc>
      </w:tr>
      <w:tr>
        <w:trPr>
          <w:cantSplit w:val="true"/>
        </w:trPr>
        <w:tc>
          <w:tcPr>
            <w:tcW w:type="dxa" w:w="3168"/>
            <w:tcMar>
              <w:top w:w="45" w:type="dxa"/>
              <w:left w:w="80" w:type="dxa"/>
              <w:bottom w:w="45" w:type="dxa"/>
              <w:right w:w="60" w:type="dxa"/>
            </w:tcMar>
            <w:vAlign w:val="top"/>
          </w:tcPr>
          <w:p>
            <w:pPr>
              <w:pStyle w:val="IGCell"/>
              <w:keepNext/>
              <w:spacing w:after="0"/>
            </w:pPr>
            <w:r>
              <w:rPr>
                <w:rFonts w:ascii="Arial" w:hAnsi="Arial" w:cs="Arial" w:eastAsia="Arial"/>
                <w:color w:val="192E43"/>
                <w:sz w:val="17"/>
              </w:rPr>
              <w:t>The General Assembly session runs Jan 12 to Apr 29, 2027, with a house-of-origin deadline of Mar 12.</w:t>
            </w:r>
          </w:p>
        </w:tc>
        <w:tc>
          <w:tcPr>
            <w:tcW w:type="dxa" w:w="2448"/>
            <w:tcMar>
              <w:top w:w="45" w:type="dxa"/>
              <w:left w:w="80" w:type="dxa"/>
              <w:bottom w:w="45" w:type="dxa"/>
              <w:right w:w="60" w:type="dxa"/>
            </w:tcMar>
            <w:vAlign w:val="top"/>
          </w:tcPr>
          <w:p>
            <w:pPr>
              <w:pStyle w:val="IGCell"/>
              <w:keepNext/>
              <w:spacing w:after="0"/>
            </w:pPr>
            <w:r>
              <w:rPr>
                <w:rFonts w:ascii="Arial" w:hAnsi="Arial" w:cs="Arial" w:eastAsia="Arial"/>
                <w:color w:val="192E43"/>
                <w:sz w:val="17"/>
              </w:rPr>
              <w:t>Published legislative calendar (fictional for this example)</w:t>
            </w:r>
          </w:p>
        </w:tc>
        <w:tc>
          <w:tcPr>
            <w:tcW w:type="dxa" w:w="11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High</w:t>
            </w:r>
          </w:p>
        </w:tc>
        <w:tc>
          <w:tcPr>
            <w:tcW w:type="dxa" w:w="2880"/>
            <w:tcMar>
              <w:top w:w="45" w:type="dxa"/>
              <w:left w:w="80" w:type="dxa"/>
              <w:bottom w:w="45" w:type="dxa"/>
              <w:right w:w="60" w:type="dxa"/>
            </w:tcMar>
            <w:vAlign w:val="top"/>
          </w:tcPr>
          <w:p>
            <w:pPr>
              <w:pStyle w:val="IGCell"/>
              <w:keepNext/>
              <w:spacing w:after="0"/>
            </w:pPr>
            <w:r>
              <w:rPr>
                <w:rFonts w:ascii="Arial" w:hAnsi="Arial" w:cs="Arial" w:eastAsia="Arial"/>
                <w:color w:val="192E43"/>
                <w:sz w:val="17"/>
              </w:rPr>
              <w:t>If the calendar changes, legislative milestones move with it and testimony preparation compresses.</w:t>
            </w:r>
          </w:p>
        </w:tc>
      </w:tr>
      <w:tr>
        <w:trPr>
          <w:cantSplit w:val="true"/>
        </w:trPr>
        <w:tc>
          <w:tcPr>
            <w:tcW w:type="dxa" w:w="3168"/>
            <w:tcMar>
              <w:top w:w="45" w:type="dxa"/>
              <w:left w:w="80" w:type="dxa"/>
              <w:bottom w:w="45" w:type="dxa"/>
              <w:right w:w="60" w:type="dxa"/>
            </w:tcMar>
            <w:vAlign w:val="top"/>
          </w:tcPr>
          <w:p>
            <w:pPr>
              <w:pStyle w:val="IGCell"/>
              <w:keepNext/>
              <w:spacing w:after="0"/>
            </w:pPr>
            <w:r>
              <w:rPr>
                <w:rFonts w:ascii="Arial" w:hAnsi="Arial" w:cs="Arial" w:eastAsia="Arial"/>
                <w:color w:val="192E43"/>
                <w:sz w:val="17"/>
              </w:rPr>
              <w:t>The federal funding notice for the bridge round publishes by Jun 15, 2027, with applications due Sep 30, 2027.</w:t>
            </w:r>
          </w:p>
        </w:tc>
        <w:tc>
          <w:tcPr>
            <w:tcW w:type="dxa" w:w="2448"/>
            <w:tcMar>
              <w:top w:w="45" w:type="dxa"/>
              <w:left w:w="80" w:type="dxa"/>
              <w:bottom w:w="45" w:type="dxa"/>
              <w:right w:w="60" w:type="dxa"/>
            </w:tcMar>
            <w:vAlign w:val="top"/>
          </w:tcPr>
          <w:p>
            <w:pPr>
              <w:pStyle w:val="IGCell"/>
              <w:keepNext/>
              <w:spacing w:after="0"/>
            </w:pPr>
            <w:r>
              <w:rPr>
                <w:rFonts w:ascii="Arial" w:hAnsi="Arial" w:cs="Arial" w:eastAsia="Arial"/>
                <w:color w:val="192E43"/>
                <w:sz w:val="17"/>
              </w:rPr>
              <w:t>Informal signals from regional office staff and past program cycles; not confirmed</w:t>
            </w:r>
          </w:p>
        </w:tc>
        <w:tc>
          <w:tcPr>
            <w:tcW w:type="dxa" w:w="11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Low</w:t>
            </w:r>
          </w:p>
        </w:tc>
        <w:tc>
          <w:tcPr>
            <w:tcW w:type="dxa" w:w="2880"/>
            <w:tcMar>
              <w:top w:w="45" w:type="dxa"/>
              <w:left w:w="80" w:type="dxa"/>
              <w:bottom w:w="45" w:type="dxa"/>
              <w:right w:w="60" w:type="dxa"/>
            </w:tcMar>
            <w:vAlign w:val="top"/>
          </w:tcPr>
          <w:p>
            <w:pPr>
              <w:pStyle w:val="IGCell"/>
              <w:keepNext/>
              <w:spacing w:after="0"/>
            </w:pPr>
            <w:r>
              <w:rPr>
                <w:rFonts w:ascii="Arial" w:hAnsi="Arial" w:cs="Arial" w:eastAsia="Arial"/>
                <w:color w:val="192E43"/>
                <w:sz w:val="17"/>
              </w:rPr>
              <w:t>A later notice relaxes the schedule but delays the match commitments; an earlier notice compresses OBJ-4.</w:t>
            </w:r>
          </w:p>
        </w:tc>
      </w:tr>
      <w:tr>
        <w:trPr>
          <w:cantSplit w:val="true"/>
        </w:trPr>
        <w:tc>
          <w:tcPr>
            <w:tcW w:type="dxa" w:w="3168"/>
            <w:tcMar>
              <w:top w:w="45" w:type="dxa"/>
              <w:left w:w="80" w:type="dxa"/>
              <w:bottom w:w="45" w:type="dxa"/>
              <w:right w:w="60" w:type="dxa"/>
            </w:tcMar>
            <w:vAlign w:val="top"/>
          </w:tcPr>
          <w:p>
            <w:pPr>
              <w:pStyle w:val="IGCell"/>
              <w:keepNext/>
              <w:spacing w:after="0"/>
            </w:pPr>
            <w:r>
              <w:rPr>
                <w:rFonts w:ascii="Arial" w:hAnsi="Arial" w:cs="Arial" w:eastAsia="Arial"/>
                <w:color w:val="192E43"/>
                <w:sz w:val="17"/>
              </w:rPr>
              <w:t>State DOT will commit match only after an executed local agreement and a formal request.</w:t>
            </w:r>
          </w:p>
        </w:tc>
        <w:tc>
          <w:tcPr>
            <w:tcW w:type="dxa" w:w="2448"/>
            <w:tcMar>
              <w:top w:w="45" w:type="dxa"/>
              <w:left w:w="80" w:type="dxa"/>
              <w:bottom w:w="45" w:type="dxa"/>
              <w:right w:w="60" w:type="dxa"/>
            </w:tcMar>
            <w:vAlign w:val="top"/>
          </w:tcPr>
          <w:p>
            <w:pPr>
              <w:pStyle w:val="IGCell"/>
              <w:keepNext/>
              <w:spacing w:after="0"/>
            </w:pPr>
            <w:r>
              <w:rPr>
                <w:rFonts w:ascii="Arial" w:hAnsi="Arial" w:cs="Arial" w:eastAsia="Arial"/>
                <w:color w:val="192E43"/>
                <w:sz w:val="17"/>
              </w:rPr>
              <w:t>Staff statement of Mar 8; not published policy</w:t>
            </w:r>
          </w:p>
        </w:tc>
        <w:tc>
          <w:tcPr>
            <w:tcW w:type="dxa" w:w="11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Medium</w:t>
            </w:r>
          </w:p>
        </w:tc>
        <w:tc>
          <w:tcPr>
            <w:tcW w:type="dxa" w:w="2880"/>
            <w:tcMar>
              <w:top w:w="45" w:type="dxa"/>
              <w:left w:w="80" w:type="dxa"/>
              <w:bottom w:w="45" w:type="dxa"/>
              <w:right w:w="60" w:type="dxa"/>
            </w:tcMar>
            <w:vAlign w:val="top"/>
          </w:tcPr>
          <w:p>
            <w:pPr>
              <w:pStyle w:val="IGCell"/>
              <w:keepNext/>
              <w:spacing w:after="0"/>
            </w:pPr>
            <w:r>
              <w:rPr>
                <w:rFonts w:ascii="Arial" w:hAnsi="Arial" w:cs="Arial" w:eastAsia="Arial"/>
                <w:color w:val="192E43"/>
                <w:sz w:val="17"/>
              </w:rPr>
              <w:t>If State DOT accepts an authorizing resolution instead, OBJ-4 is no longer on the critical path for the match.</w:t>
            </w:r>
          </w:p>
        </w:tc>
      </w:tr>
      <w:tr>
        <w:trPr>
          <w:cantSplit w:val="true"/>
        </w:trPr>
        <w:tc>
          <w:tcPr>
            <w:tcW w:type="dxa" w:w="3168"/>
            <w:tcMar>
              <w:top w:w="45" w:type="dxa"/>
              <w:left w:w="80" w:type="dxa"/>
              <w:bottom w:w="45" w:type="dxa"/>
              <w:right w:w="60" w:type="dxa"/>
            </w:tcMar>
            <w:vAlign w:val="top"/>
          </w:tcPr>
          <w:p>
            <w:pPr>
              <w:pStyle w:val="IGCell"/>
              <w:keepNext/>
              <w:spacing w:after="0"/>
            </w:pPr>
            <w:r>
              <w:rPr>
                <w:rFonts w:ascii="Arial" w:hAnsi="Arial" w:cs="Arial" w:eastAsia="Arial"/>
                <w:color w:val="192E43"/>
                <w:sz w:val="17"/>
              </w:rPr>
              <w:t>Riverton City and the Transit Authority will remain partners on the bridge through the plan year.</w:t>
            </w:r>
          </w:p>
        </w:tc>
        <w:tc>
          <w:tcPr>
            <w:tcW w:type="dxa" w:w="2448"/>
            <w:tcMar>
              <w:top w:w="45" w:type="dxa"/>
              <w:left w:w="80" w:type="dxa"/>
              <w:bottom w:w="45" w:type="dxa"/>
              <w:right w:w="60" w:type="dxa"/>
            </w:tcMar>
            <w:vAlign w:val="top"/>
          </w:tcPr>
          <w:p>
            <w:pPr>
              <w:pStyle w:val="IGCell"/>
              <w:keepNext/>
              <w:spacing w:after="0"/>
            </w:pPr>
            <w:r>
              <w:rPr>
                <w:rFonts w:ascii="Arial" w:hAnsi="Arial" w:cs="Arial" w:eastAsia="Arial"/>
                <w:color w:val="192E43"/>
                <w:sz w:val="17"/>
              </w:rPr>
              <w:t>Current staff engagement; Riverton election in Nov 2027</w:t>
            </w:r>
          </w:p>
        </w:tc>
        <w:tc>
          <w:tcPr>
            <w:tcW w:type="dxa" w:w="11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Medium</w:t>
            </w:r>
          </w:p>
        </w:tc>
        <w:tc>
          <w:tcPr>
            <w:tcW w:type="dxa" w:w="2880"/>
            <w:tcMar>
              <w:top w:w="45" w:type="dxa"/>
              <w:left w:w="80" w:type="dxa"/>
              <w:bottom w:w="45" w:type="dxa"/>
              <w:right w:w="60" w:type="dxa"/>
            </w:tcMar>
            <w:vAlign w:val="top"/>
          </w:tcPr>
          <w:p>
            <w:pPr>
              <w:pStyle w:val="IGCell"/>
              <w:keepNext/>
              <w:spacing w:after="0"/>
            </w:pPr>
            <w:r>
              <w:rPr>
                <w:rFonts w:ascii="Arial" w:hAnsi="Arial" w:cs="Arial" w:eastAsia="Arial"/>
                <w:color w:val="192E43"/>
                <w:sz w:val="17"/>
              </w:rPr>
              <w:t>If either withdraws, the agreement scope and the match structure must be rebuilt.</w:t>
            </w:r>
          </w:p>
        </w:tc>
      </w:tr>
      <w:tr>
        <w:trPr>
          <w:cantSplit w:val="true"/>
        </w:trPr>
        <w:tc>
          <w:tcPr>
            <w:tcW w:type="dxa" w:w="3168"/>
            <w:tcMar>
              <w:top w:w="45" w:type="dxa"/>
              <w:left w:w="80" w:type="dxa"/>
              <w:bottom w:w="45" w:type="dxa"/>
              <w:right w:w="60" w:type="dxa"/>
            </w:tcMar>
            <w:vAlign w:val="top"/>
          </w:tcPr>
          <w:p>
            <w:pPr>
              <w:pStyle w:val="IGCell"/>
              <w:spacing w:after="0"/>
            </w:pPr>
            <w:r>
              <w:rPr>
                <w:rFonts w:ascii="Arial" w:hAnsi="Arial" w:cs="Arial" w:eastAsia="Arial"/>
                <w:color w:val="192E43"/>
                <w:sz w:val="17"/>
              </w:rPr>
              <w:t>The office will keep its current staffing of four through the plan year.</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7"/>
              </w:rPr>
              <w:t>Approved 2027 budget</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High</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A vacancy during session would require reassigning legislative coverage.</w:t>
            </w:r>
          </w:p>
        </w:tc>
      </w:tr>
    </w:tbl>
    <w:p>
      <w:pPr>
        <w:spacing w:after="80" w:line="144" w:lineRule="auto"/>
      </w:pPr>
    </w:p>
    <w:p>
      <w:pPr>
        <w:pStyle w:val="IGSmall"/>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Practitioner note.  </w:t>
      </w:r>
      <w:r>
        <w:rPr>
          <w:rFonts w:ascii="Arial" w:hAnsi="Arial" w:cs="Arial" w:eastAsia="Arial"/>
          <w:color w:val="52606D"/>
          <w:sz w:val="17"/>
        </w:rPr>
        <w:t>The least certain assumptions (federal notice timing and State DOT's match rule) drive the two At Risk objectives. Writing them down with their basis lets leadership see which parts of the plan rest on confirmed facts and which rest on informal signals.</w:t>
      </w:r>
    </w:p>
    <w:p>
      <w:pPr>
        <w:pStyle w:val="Heading1"/>
      </w:pPr>
      <w:r>
        <w:t>5. Strategic Objectives and Intended Outcomes</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Commits the office to a small number of results that leadership can recognize when they happen. Everything else in the plan supports these.</w:t>
      </w:r>
    </w:p>
    <w:p>
      <w:pPr>
        <w:pStyle w:val="Heading2"/>
      </w:pPr>
      <w:r>
        <w:t>5.1 Objective summary</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769"/>
        <w:gridCol w:w="3076"/>
        <w:gridCol w:w="1677"/>
        <w:gridCol w:w="769"/>
        <w:gridCol w:w="1118"/>
        <w:gridCol w:w="1188"/>
        <w:gridCol w:w="1048"/>
      </w:tblGrid>
      <w:tr>
        <w:trPr>
          <w:tblHeader w:val="true"/>
          <w:cantSplit w:val="true"/>
        </w:trPr>
        <w:tc>
          <w:tcPr>
            <w:tcW w:type="dxa" w:w="769"/>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ID</w:t>
            </w:r>
          </w:p>
        </w:tc>
        <w:tc>
          <w:tcPr>
            <w:tcW w:type="dxa" w:w="3076"/>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Objective</w:t>
            </w:r>
          </w:p>
        </w:tc>
        <w:tc>
          <w:tcPr>
            <w:tcW w:type="dxa" w:w="1678"/>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Type</w:t>
            </w:r>
          </w:p>
        </w:tc>
        <w:tc>
          <w:tcPr>
            <w:tcW w:type="dxa" w:w="769"/>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Priority</w:t>
            </w:r>
          </w:p>
        </w:tc>
        <w:tc>
          <w:tcPr>
            <w:tcW w:type="dxa" w:w="1119"/>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Lead</w:t>
            </w:r>
          </w:p>
        </w:tc>
        <w:tc>
          <w:tcPr>
            <w:tcW w:type="dxa" w:w="1189"/>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Target date</w:t>
            </w:r>
          </w:p>
        </w:tc>
        <w:tc>
          <w:tcPr>
            <w:tcW w:type="dxa" w:w="1049"/>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Status</w:t>
            </w:r>
          </w:p>
        </w:tc>
      </w:tr>
      <w:tr>
        <w:trPr>
          <w:cantSplit w:val="true"/>
        </w:trPr>
        <w:tc>
          <w:tcPr>
            <w:tcW w:type="dxa" w:w="769"/>
            <w:tcMar>
              <w:top w:w="45" w:type="dxa"/>
              <w:left w:w="80" w:type="dxa"/>
              <w:bottom w:w="45" w:type="dxa"/>
              <w:right w:w="60" w:type="dxa"/>
            </w:tcMar>
            <w:vAlign w:val="top"/>
          </w:tcPr>
          <w:p>
            <w:pPr>
              <w:pStyle w:val="IGCell"/>
              <w:spacing w:after="0"/>
            </w:pPr>
            <w:r>
              <w:rPr>
                <w:rFonts w:ascii="Arial" w:hAnsi="Arial" w:cs="Arial" w:eastAsia="Arial"/>
                <w:b/>
                <w:color w:val="192E43"/>
                <w:sz w:val="17"/>
              </w:rPr>
              <w:t>OBJ-1</w:t>
            </w:r>
          </w:p>
        </w:tc>
        <w:tc>
          <w:tcPr>
            <w:tcW w:type="dxa" w:w="3076"/>
            <w:tcMar>
              <w:top w:w="45" w:type="dxa"/>
              <w:left w:w="80" w:type="dxa"/>
              <w:bottom w:w="45" w:type="dxa"/>
              <w:right w:w="60" w:type="dxa"/>
            </w:tcMar>
            <w:vAlign w:val="top"/>
          </w:tcPr>
          <w:p>
            <w:pPr>
              <w:pStyle w:val="IGCell"/>
              <w:spacing w:after="0"/>
            </w:pPr>
            <w:r>
              <w:rPr>
                <w:rFonts w:ascii="Arial" w:hAnsi="Arial" w:cs="Arial" w:eastAsia="Arial"/>
                <w:color w:val="192E43"/>
                <w:sz w:val="17"/>
              </w:rPr>
              <w:t>Secure state enabling authority for a county transportation local-option sales tax</w:t>
            </w:r>
          </w:p>
        </w:tc>
        <w:tc>
          <w:tcPr>
            <w:tcW w:type="dxa" w:w="1678"/>
            <w:tcMar>
              <w:top w:w="45" w:type="dxa"/>
              <w:left w:w="80" w:type="dxa"/>
              <w:bottom w:w="45" w:type="dxa"/>
              <w:right w:w="60" w:type="dxa"/>
            </w:tcMar>
            <w:vAlign w:val="top"/>
          </w:tcPr>
          <w:p>
            <w:pPr>
              <w:pStyle w:val="IGCell"/>
              <w:spacing w:after="0"/>
            </w:pPr>
            <w:r>
              <w:rPr>
                <w:rFonts w:ascii="Arial" w:hAnsi="Arial" w:cs="Arial" w:eastAsia="Arial"/>
                <w:color w:val="192E43"/>
                <w:sz w:val="17"/>
              </w:rPr>
              <w:t>Legislative</w:t>
            </w:r>
          </w:p>
        </w:tc>
        <w:tc>
          <w:tcPr>
            <w:tcW w:type="dxa" w:w="769"/>
            <w:tcMar>
              <w:top w:w="45" w:type="dxa"/>
              <w:left w:w="80" w:type="dxa"/>
              <w:bottom w:w="45" w:type="dxa"/>
              <w:right w:w="60" w:type="dxa"/>
            </w:tcMar>
            <w:vAlign w:val="top"/>
          </w:tcPr>
          <w:p>
            <w:pPr>
              <w:pStyle w:val="IGCell"/>
              <w:spacing w:after="0"/>
            </w:pPr>
            <w:r>
              <w:rPr>
                <w:rFonts w:ascii="Arial" w:hAnsi="Arial" w:cs="Arial" w:eastAsia="Arial"/>
                <w:color w:val="192E43"/>
                <w:sz w:val="17"/>
              </w:rPr>
              <w:t>EP-1</w:t>
            </w:r>
          </w:p>
        </w:tc>
        <w:tc>
          <w:tcPr>
            <w:tcW w:type="dxa" w:w="1119"/>
            <w:tcMar>
              <w:top w:w="45" w:type="dxa"/>
              <w:left w:w="80" w:type="dxa"/>
              <w:bottom w:w="45" w:type="dxa"/>
              <w:right w:w="60" w:type="dxa"/>
            </w:tcMar>
            <w:vAlign w:val="top"/>
          </w:tcPr>
          <w:p>
            <w:pPr>
              <w:pStyle w:val="IGCell"/>
              <w:spacing w:after="0"/>
            </w:pPr>
            <w:r>
              <w:rPr>
                <w:rFonts w:ascii="Arial" w:hAnsi="Arial" w:cs="Arial" w:eastAsia="Arial"/>
                <w:color w:val="192E43"/>
                <w:sz w:val="17"/>
              </w:rPr>
              <w:t>Jordan Pike</w:t>
            </w:r>
          </w:p>
        </w:tc>
        <w:tc>
          <w:tcPr>
            <w:tcW w:type="dxa" w:w="1189"/>
            <w:tcMar>
              <w:top w:w="45" w:type="dxa"/>
              <w:left w:w="80" w:type="dxa"/>
              <w:bottom w:w="45" w:type="dxa"/>
              <w:right w:w="60" w:type="dxa"/>
            </w:tcMar>
            <w:vAlign w:val="top"/>
          </w:tcPr>
          <w:p>
            <w:pPr>
              <w:pStyle w:val="IGCell"/>
              <w:spacing w:after="0"/>
            </w:pPr>
            <w:r>
              <w:rPr>
                <w:rFonts w:ascii="Arial" w:hAnsi="Arial" w:cs="Arial" w:eastAsia="Arial"/>
                <w:color w:val="192E43"/>
                <w:sz w:val="17"/>
              </w:rPr>
              <w:t>May 28, 2027</w:t>
            </w:r>
          </w:p>
        </w:tc>
        <w:tc>
          <w:tcPr>
            <w:tcW w:type="dxa" w:w="1049"/>
            <w:tcMar>
              <w:top w:w="45" w:type="dxa"/>
              <w:left w:w="80" w:type="dxa"/>
              <w:bottom w:w="45" w:type="dxa"/>
              <w:right w:w="60" w:type="dxa"/>
            </w:tcMar>
            <w:vAlign w:val="top"/>
          </w:tcPr>
          <w:p>
            <w:pPr>
              <w:pStyle w:val="IGCell"/>
              <w:spacing w:after="0"/>
            </w:pPr>
            <w:r>
              <w:rPr>
                <w:rFonts w:ascii="Arial" w:hAnsi="Arial" w:cs="Arial" w:eastAsia="Arial"/>
                <w:color w:val="192E43"/>
                <w:sz w:val="17"/>
              </w:rPr>
              <w:t>On Track</w:t>
            </w:r>
          </w:p>
        </w:tc>
      </w:tr>
      <w:tr>
        <w:trPr>
          <w:cantSplit w:val="true"/>
        </w:trPr>
        <w:tc>
          <w:tcPr>
            <w:tcW w:type="dxa" w:w="769"/>
            <w:tcMar>
              <w:top w:w="45" w:type="dxa"/>
              <w:left w:w="80" w:type="dxa"/>
              <w:bottom w:w="45" w:type="dxa"/>
              <w:right w:w="60" w:type="dxa"/>
            </w:tcMar>
            <w:vAlign w:val="top"/>
          </w:tcPr>
          <w:p>
            <w:pPr>
              <w:pStyle w:val="IGCell"/>
              <w:spacing w:after="0"/>
            </w:pPr>
            <w:r>
              <w:rPr>
                <w:rFonts w:ascii="Arial" w:hAnsi="Arial" w:cs="Arial" w:eastAsia="Arial"/>
                <w:b/>
                <w:color w:val="192E43"/>
                <w:sz w:val="17"/>
              </w:rPr>
              <w:t>OBJ-2</w:t>
            </w:r>
          </w:p>
        </w:tc>
        <w:tc>
          <w:tcPr>
            <w:tcW w:type="dxa" w:w="3076"/>
            <w:tcMar>
              <w:top w:w="45" w:type="dxa"/>
              <w:left w:w="80" w:type="dxa"/>
              <w:bottom w:w="45" w:type="dxa"/>
              <w:right w:w="60" w:type="dxa"/>
            </w:tcMar>
            <w:vAlign w:val="top"/>
          </w:tcPr>
          <w:p>
            <w:pPr>
              <w:pStyle w:val="IGCell"/>
              <w:spacing w:after="0"/>
            </w:pPr>
            <w:r>
              <w:rPr>
                <w:rFonts w:ascii="Arial" w:hAnsi="Arial" w:cs="Arial" w:eastAsia="Arial"/>
                <w:color w:val="192E43"/>
                <w:sz w:val="17"/>
              </w:rPr>
              <w:t>Preserve county stormwater and permitting standards in state uniformity legislation</w:t>
            </w:r>
          </w:p>
        </w:tc>
        <w:tc>
          <w:tcPr>
            <w:tcW w:type="dxa" w:w="1678"/>
            <w:tcMar>
              <w:top w:w="45" w:type="dxa"/>
              <w:left w:w="80" w:type="dxa"/>
              <w:bottom w:w="45" w:type="dxa"/>
              <w:right w:w="60" w:type="dxa"/>
            </w:tcMar>
            <w:vAlign w:val="top"/>
          </w:tcPr>
          <w:p>
            <w:pPr>
              <w:pStyle w:val="IGCell"/>
              <w:spacing w:after="0"/>
            </w:pPr>
            <w:r>
              <w:rPr>
                <w:rFonts w:ascii="Arial" w:hAnsi="Arial" w:cs="Arial" w:eastAsia="Arial"/>
                <w:color w:val="192E43"/>
                <w:sz w:val="17"/>
              </w:rPr>
              <w:t>Legislative</w:t>
            </w:r>
          </w:p>
        </w:tc>
        <w:tc>
          <w:tcPr>
            <w:tcW w:type="dxa" w:w="769"/>
            <w:tcMar>
              <w:top w:w="45" w:type="dxa"/>
              <w:left w:w="80" w:type="dxa"/>
              <w:bottom w:w="45" w:type="dxa"/>
              <w:right w:w="60" w:type="dxa"/>
            </w:tcMar>
            <w:vAlign w:val="top"/>
          </w:tcPr>
          <w:p>
            <w:pPr>
              <w:pStyle w:val="IGCell"/>
              <w:spacing w:after="0"/>
            </w:pPr>
            <w:r>
              <w:rPr>
                <w:rFonts w:ascii="Arial" w:hAnsi="Arial" w:cs="Arial" w:eastAsia="Arial"/>
                <w:color w:val="192E43"/>
                <w:sz w:val="17"/>
              </w:rPr>
              <w:t>EP-2</w:t>
            </w:r>
          </w:p>
        </w:tc>
        <w:tc>
          <w:tcPr>
            <w:tcW w:type="dxa" w:w="1119"/>
            <w:tcMar>
              <w:top w:w="45" w:type="dxa"/>
              <w:left w:w="80" w:type="dxa"/>
              <w:bottom w:w="45" w:type="dxa"/>
              <w:right w:w="60" w:type="dxa"/>
            </w:tcMar>
            <w:vAlign w:val="top"/>
          </w:tcPr>
          <w:p>
            <w:pPr>
              <w:pStyle w:val="IGCell"/>
              <w:spacing w:after="0"/>
            </w:pPr>
            <w:r>
              <w:rPr>
                <w:rFonts w:ascii="Arial" w:hAnsi="Arial" w:cs="Arial" w:eastAsia="Arial"/>
                <w:color w:val="192E43"/>
                <w:sz w:val="17"/>
              </w:rPr>
              <w:t>Jordan Pike</w:t>
            </w:r>
          </w:p>
        </w:tc>
        <w:tc>
          <w:tcPr>
            <w:tcW w:type="dxa" w:w="1189"/>
            <w:tcMar>
              <w:top w:w="45" w:type="dxa"/>
              <w:left w:w="80" w:type="dxa"/>
              <w:bottom w:w="45" w:type="dxa"/>
              <w:right w:w="60" w:type="dxa"/>
            </w:tcMar>
            <w:vAlign w:val="top"/>
          </w:tcPr>
          <w:p>
            <w:pPr>
              <w:pStyle w:val="IGCell"/>
              <w:spacing w:after="0"/>
            </w:pPr>
            <w:r>
              <w:rPr>
                <w:rFonts w:ascii="Arial" w:hAnsi="Arial" w:cs="Arial" w:eastAsia="Arial"/>
                <w:color w:val="192E43"/>
                <w:sz w:val="17"/>
              </w:rPr>
              <w:t>May 14, 2027</w:t>
            </w:r>
          </w:p>
        </w:tc>
        <w:tc>
          <w:tcPr>
            <w:tcW w:type="dxa" w:w="1049"/>
            <w:tcMar>
              <w:top w:w="45" w:type="dxa"/>
              <w:left w:w="80" w:type="dxa"/>
              <w:bottom w:w="45" w:type="dxa"/>
              <w:right w:w="60" w:type="dxa"/>
            </w:tcMar>
            <w:vAlign w:val="top"/>
          </w:tcPr>
          <w:p>
            <w:pPr>
              <w:pStyle w:val="IGCell"/>
              <w:spacing w:after="0"/>
            </w:pPr>
            <w:r>
              <w:rPr>
                <w:rFonts w:ascii="Arial" w:hAnsi="Arial" w:cs="Arial" w:eastAsia="Arial"/>
                <w:color w:val="192E43"/>
                <w:sz w:val="17"/>
              </w:rPr>
              <w:t>On Track</w:t>
            </w:r>
          </w:p>
        </w:tc>
      </w:tr>
      <w:tr>
        <w:trPr>
          <w:cantSplit w:val="true"/>
        </w:trPr>
        <w:tc>
          <w:tcPr>
            <w:tcW w:type="dxa" w:w="769"/>
            <w:tcMar>
              <w:top w:w="45" w:type="dxa"/>
              <w:left w:w="80" w:type="dxa"/>
              <w:bottom w:w="45" w:type="dxa"/>
              <w:right w:w="60" w:type="dxa"/>
            </w:tcMar>
            <w:vAlign w:val="top"/>
          </w:tcPr>
          <w:p>
            <w:pPr>
              <w:pStyle w:val="IGCell"/>
              <w:spacing w:after="0"/>
            </w:pPr>
            <w:r>
              <w:rPr>
                <w:rFonts w:ascii="Arial" w:hAnsi="Arial" w:cs="Arial" w:eastAsia="Arial"/>
                <w:b/>
                <w:color w:val="192E43"/>
                <w:sz w:val="17"/>
              </w:rPr>
              <w:t>OBJ-3</w:t>
            </w:r>
          </w:p>
        </w:tc>
        <w:tc>
          <w:tcPr>
            <w:tcW w:type="dxa" w:w="3076"/>
            <w:tcMar>
              <w:top w:w="45" w:type="dxa"/>
              <w:left w:w="80" w:type="dxa"/>
              <w:bottom w:w="45" w:type="dxa"/>
              <w:right w:w="60" w:type="dxa"/>
            </w:tcMar>
            <w:vAlign w:val="top"/>
          </w:tcPr>
          <w:p>
            <w:pPr>
              <w:pStyle w:val="IGCell"/>
              <w:spacing w:after="0"/>
            </w:pPr>
            <w:r>
              <w:rPr>
                <w:rFonts w:ascii="Arial" w:hAnsi="Arial" w:cs="Arial" w:eastAsia="Arial"/>
                <w:color w:val="192E43"/>
                <w:sz w:val="17"/>
              </w:rPr>
              <w:t>Position the Calloway River Bridge replacement for a competitive federal discretionary grant</w:t>
            </w:r>
          </w:p>
        </w:tc>
        <w:tc>
          <w:tcPr>
            <w:tcW w:type="dxa" w:w="1678"/>
            <w:tcMar>
              <w:top w:w="45" w:type="dxa"/>
              <w:left w:w="80" w:type="dxa"/>
              <w:bottom w:w="45" w:type="dxa"/>
              <w:right w:w="60" w:type="dxa"/>
            </w:tcMar>
            <w:vAlign w:val="top"/>
          </w:tcPr>
          <w:p>
            <w:pPr>
              <w:pStyle w:val="IGCell"/>
              <w:spacing w:after="0"/>
            </w:pPr>
            <w:r>
              <w:rPr>
                <w:rFonts w:ascii="Arial" w:hAnsi="Arial" w:cs="Arial" w:eastAsia="Arial"/>
                <w:color w:val="192E43"/>
                <w:sz w:val="17"/>
              </w:rPr>
              <w:t>Administrative</w:t>
            </w:r>
          </w:p>
        </w:tc>
        <w:tc>
          <w:tcPr>
            <w:tcW w:type="dxa" w:w="769"/>
            <w:tcMar>
              <w:top w:w="45" w:type="dxa"/>
              <w:left w:w="80" w:type="dxa"/>
              <w:bottom w:w="45" w:type="dxa"/>
              <w:right w:w="60" w:type="dxa"/>
            </w:tcMar>
            <w:vAlign w:val="top"/>
          </w:tcPr>
          <w:p>
            <w:pPr>
              <w:pStyle w:val="IGCell"/>
              <w:spacing w:after="0"/>
            </w:pPr>
            <w:r>
              <w:rPr>
                <w:rFonts w:ascii="Arial" w:hAnsi="Arial" w:cs="Arial" w:eastAsia="Arial"/>
                <w:color w:val="192E43"/>
                <w:sz w:val="17"/>
              </w:rPr>
              <w:t>EP-1</w:t>
            </w:r>
          </w:p>
        </w:tc>
        <w:tc>
          <w:tcPr>
            <w:tcW w:type="dxa" w:w="1119"/>
            <w:tcMar>
              <w:top w:w="45" w:type="dxa"/>
              <w:left w:w="80" w:type="dxa"/>
              <w:bottom w:w="45" w:type="dxa"/>
              <w:right w:w="60" w:type="dxa"/>
            </w:tcMar>
            <w:vAlign w:val="top"/>
          </w:tcPr>
          <w:p>
            <w:pPr>
              <w:pStyle w:val="IGCell"/>
              <w:spacing w:after="0"/>
            </w:pPr>
            <w:r>
              <w:rPr>
                <w:rFonts w:ascii="Arial" w:hAnsi="Arial" w:cs="Arial" w:eastAsia="Arial"/>
                <w:color w:val="192E43"/>
                <w:sz w:val="17"/>
              </w:rPr>
              <w:t>Samuel Ortega</w:t>
            </w:r>
          </w:p>
        </w:tc>
        <w:tc>
          <w:tcPr>
            <w:tcW w:type="dxa" w:w="1189"/>
            <w:tcMar>
              <w:top w:w="45" w:type="dxa"/>
              <w:left w:w="80" w:type="dxa"/>
              <w:bottom w:w="45" w:type="dxa"/>
              <w:right w:w="60" w:type="dxa"/>
            </w:tcMar>
            <w:vAlign w:val="top"/>
          </w:tcPr>
          <w:p>
            <w:pPr>
              <w:pStyle w:val="IGCell"/>
              <w:spacing w:after="0"/>
            </w:pPr>
            <w:r>
              <w:rPr>
                <w:rFonts w:ascii="Arial" w:hAnsi="Arial" w:cs="Arial" w:eastAsia="Arial"/>
                <w:color w:val="192E43"/>
                <w:sz w:val="17"/>
              </w:rPr>
              <w:t>Sep 30, 2027</w:t>
            </w:r>
          </w:p>
        </w:tc>
        <w:tc>
          <w:tcPr>
            <w:tcW w:type="dxa" w:w="1049"/>
            <w:tcMar>
              <w:top w:w="45" w:type="dxa"/>
              <w:left w:w="80" w:type="dxa"/>
              <w:bottom w:w="45" w:type="dxa"/>
              <w:right w:w="60" w:type="dxa"/>
            </w:tcMar>
            <w:vAlign w:val="top"/>
          </w:tcPr>
          <w:p>
            <w:pPr>
              <w:pStyle w:val="IGCell"/>
              <w:spacing w:after="0"/>
            </w:pPr>
            <w:r>
              <w:rPr>
                <w:rFonts w:ascii="Arial" w:hAnsi="Arial" w:cs="Arial" w:eastAsia="Arial"/>
                <w:color w:val="192E43"/>
                <w:sz w:val="17"/>
              </w:rPr>
              <w:t>At Risk</w:t>
            </w:r>
          </w:p>
        </w:tc>
      </w:tr>
      <w:tr>
        <w:trPr>
          <w:cantSplit w:val="true"/>
        </w:trPr>
        <w:tc>
          <w:tcPr>
            <w:tcW w:type="dxa" w:w="769"/>
            <w:tcMar>
              <w:top w:w="45" w:type="dxa"/>
              <w:left w:w="80" w:type="dxa"/>
              <w:bottom w:w="45" w:type="dxa"/>
              <w:right w:w="60" w:type="dxa"/>
            </w:tcMar>
            <w:vAlign w:val="top"/>
          </w:tcPr>
          <w:p>
            <w:pPr>
              <w:pStyle w:val="IGCell"/>
              <w:spacing w:after="0"/>
            </w:pPr>
            <w:r>
              <w:rPr>
                <w:rFonts w:ascii="Arial" w:hAnsi="Arial" w:cs="Arial" w:eastAsia="Arial"/>
                <w:b/>
                <w:color w:val="192E43"/>
                <w:sz w:val="17"/>
              </w:rPr>
              <w:t>OBJ-4</w:t>
            </w:r>
          </w:p>
        </w:tc>
        <w:tc>
          <w:tcPr>
            <w:tcW w:type="dxa" w:w="3076"/>
            <w:tcMar>
              <w:top w:w="45" w:type="dxa"/>
              <w:left w:w="80" w:type="dxa"/>
              <w:bottom w:w="45" w:type="dxa"/>
              <w:right w:w="60" w:type="dxa"/>
            </w:tcMar>
            <w:vAlign w:val="top"/>
          </w:tcPr>
          <w:p>
            <w:pPr>
              <w:pStyle w:val="IGCell"/>
              <w:spacing w:after="0"/>
            </w:pPr>
            <w:r>
              <w:rPr>
                <w:rFonts w:ascii="Arial" w:hAnsi="Arial" w:cs="Arial" w:eastAsia="Arial"/>
                <w:color w:val="192E43"/>
                <w:sz w:val="17"/>
              </w:rPr>
              <w:t>Execute the Calloway River Bridge interlocal agreement</w:t>
            </w:r>
          </w:p>
        </w:tc>
        <w:tc>
          <w:tcPr>
            <w:tcW w:type="dxa" w:w="1678"/>
            <w:tcMar>
              <w:top w:w="45" w:type="dxa"/>
              <w:left w:w="80" w:type="dxa"/>
              <w:bottom w:w="45" w:type="dxa"/>
              <w:right w:w="60" w:type="dxa"/>
            </w:tcMar>
            <w:vAlign w:val="top"/>
          </w:tcPr>
          <w:p>
            <w:pPr>
              <w:pStyle w:val="IGCell"/>
              <w:spacing w:after="0"/>
            </w:pPr>
            <w:r>
              <w:rPr>
                <w:rFonts w:ascii="Arial" w:hAnsi="Arial" w:cs="Arial" w:eastAsia="Arial"/>
                <w:color w:val="192E43"/>
                <w:sz w:val="17"/>
              </w:rPr>
              <w:t>Intergovernmental Agreement</w:t>
            </w:r>
          </w:p>
        </w:tc>
        <w:tc>
          <w:tcPr>
            <w:tcW w:type="dxa" w:w="769"/>
            <w:tcMar>
              <w:top w:w="45" w:type="dxa"/>
              <w:left w:w="80" w:type="dxa"/>
              <w:bottom w:w="45" w:type="dxa"/>
              <w:right w:w="60" w:type="dxa"/>
            </w:tcMar>
            <w:vAlign w:val="top"/>
          </w:tcPr>
          <w:p>
            <w:pPr>
              <w:pStyle w:val="IGCell"/>
              <w:spacing w:after="0"/>
            </w:pPr>
            <w:r>
              <w:rPr>
                <w:rFonts w:ascii="Arial" w:hAnsi="Arial" w:cs="Arial" w:eastAsia="Arial"/>
                <w:color w:val="192E43"/>
                <w:sz w:val="17"/>
              </w:rPr>
              <w:t>EP-3</w:t>
            </w:r>
          </w:p>
        </w:tc>
        <w:tc>
          <w:tcPr>
            <w:tcW w:type="dxa" w:w="1119"/>
            <w:tcMar>
              <w:top w:w="45" w:type="dxa"/>
              <w:left w:w="80" w:type="dxa"/>
              <w:bottom w:w="45" w:type="dxa"/>
              <w:right w:w="60" w:type="dxa"/>
            </w:tcMar>
            <w:vAlign w:val="top"/>
          </w:tcPr>
          <w:p>
            <w:pPr>
              <w:pStyle w:val="IGCell"/>
              <w:spacing w:after="0"/>
            </w:pPr>
            <w:r>
              <w:rPr>
                <w:rFonts w:ascii="Arial" w:hAnsi="Arial" w:cs="Arial" w:eastAsia="Arial"/>
                <w:color w:val="192E43"/>
                <w:sz w:val="17"/>
              </w:rPr>
              <w:t>Alicia Brandt</w:t>
            </w:r>
          </w:p>
        </w:tc>
        <w:tc>
          <w:tcPr>
            <w:tcW w:type="dxa" w:w="1189"/>
            <w:tcMar>
              <w:top w:w="45" w:type="dxa"/>
              <w:left w:w="80" w:type="dxa"/>
              <w:bottom w:w="45" w:type="dxa"/>
              <w:right w:w="60" w:type="dxa"/>
            </w:tcMar>
            <w:vAlign w:val="top"/>
          </w:tcPr>
          <w:p>
            <w:pPr>
              <w:pStyle w:val="IGCell"/>
              <w:spacing w:after="0"/>
            </w:pPr>
            <w:r>
              <w:rPr>
                <w:rFonts w:ascii="Arial" w:hAnsi="Arial" w:cs="Arial" w:eastAsia="Arial"/>
                <w:color w:val="192E43"/>
                <w:sz w:val="17"/>
              </w:rPr>
              <w:t>Aug 31, 2027</w:t>
            </w:r>
          </w:p>
        </w:tc>
        <w:tc>
          <w:tcPr>
            <w:tcW w:type="dxa" w:w="1049"/>
            <w:tcMar>
              <w:top w:w="45" w:type="dxa"/>
              <w:left w:w="80" w:type="dxa"/>
              <w:bottom w:w="45" w:type="dxa"/>
              <w:right w:w="60" w:type="dxa"/>
            </w:tcMar>
            <w:vAlign w:val="top"/>
          </w:tcPr>
          <w:p>
            <w:pPr>
              <w:pStyle w:val="IGCell"/>
              <w:spacing w:after="0"/>
            </w:pPr>
            <w:r>
              <w:rPr>
                <w:rFonts w:ascii="Arial" w:hAnsi="Arial" w:cs="Arial" w:eastAsia="Arial"/>
                <w:color w:val="192E43"/>
                <w:sz w:val="17"/>
              </w:rPr>
              <w:t>At Risk</w:t>
            </w:r>
          </w:p>
        </w:tc>
      </w:tr>
      <w:tr>
        <w:trPr>
          <w:cantSplit w:val="true"/>
        </w:trPr>
        <w:tc>
          <w:tcPr>
            <w:tcW w:type="dxa" w:w="769"/>
            <w:tcMar>
              <w:top w:w="45" w:type="dxa"/>
              <w:left w:w="80" w:type="dxa"/>
              <w:bottom w:w="45" w:type="dxa"/>
              <w:right w:w="60" w:type="dxa"/>
            </w:tcMar>
            <w:vAlign w:val="top"/>
          </w:tcPr>
          <w:p>
            <w:pPr>
              <w:pStyle w:val="IGCell"/>
              <w:spacing w:after="0"/>
            </w:pPr>
            <w:r>
              <w:rPr>
                <w:rFonts w:ascii="Arial" w:hAnsi="Arial" w:cs="Arial" w:eastAsia="Arial"/>
                <w:b/>
                <w:color w:val="192E43"/>
                <w:sz w:val="17"/>
              </w:rPr>
              <w:t>OBJ-5</w:t>
            </w:r>
          </w:p>
        </w:tc>
        <w:tc>
          <w:tcPr>
            <w:tcW w:type="dxa" w:w="3076"/>
            <w:tcMar>
              <w:top w:w="45" w:type="dxa"/>
              <w:left w:w="80" w:type="dxa"/>
              <w:bottom w:w="45" w:type="dxa"/>
              <w:right w:w="60" w:type="dxa"/>
            </w:tcMar>
            <w:vAlign w:val="top"/>
          </w:tcPr>
          <w:p>
            <w:pPr>
              <w:pStyle w:val="IGCell"/>
              <w:spacing w:after="0"/>
            </w:pPr>
            <w:r>
              <w:rPr>
                <w:rFonts w:ascii="Arial" w:hAnsi="Arial" w:cs="Arial" w:eastAsia="Arial"/>
                <w:color w:val="192E43"/>
                <w:sz w:val="17"/>
              </w:rPr>
              <w:t>Establish a standing coordination process with the Three Fords Tribal Nation</w:t>
            </w:r>
          </w:p>
        </w:tc>
        <w:tc>
          <w:tcPr>
            <w:tcW w:type="dxa" w:w="1678"/>
            <w:tcMar>
              <w:top w:w="45" w:type="dxa"/>
              <w:left w:w="80" w:type="dxa"/>
              <w:bottom w:w="45" w:type="dxa"/>
              <w:right w:w="60" w:type="dxa"/>
            </w:tcMar>
            <w:vAlign w:val="top"/>
          </w:tcPr>
          <w:p>
            <w:pPr>
              <w:pStyle w:val="IGCell"/>
              <w:spacing w:after="0"/>
            </w:pPr>
            <w:r>
              <w:rPr>
                <w:rFonts w:ascii="Arial" w:hAnsi="Arial" w:cs="Arial" w:eastAsia="Arial"/>
                <w:color w:val="192E43"/>
                <w:sz w:val="17"/>
              </w:rPr>
              <w:t>Relationship</w:t>
            </w:r>
          </w:p>
        </w:tc>
        <w:tc>
          <w:tcPr>
            <w:tcW w:type="dxa" w:w="769"/>
            <w:tcMar>
              <w:top w:w="45" w:type="dxa"/>
              <w:left w:w="80" w:type="dxa"/>
              <w:bottom w:w="45" w:type="dxa"/>
              <w:right w:w="60" w:type="dxa"/>
            </w:tcMar>
            <w:vAlign w:val="top"/>
          </w:tcPr>
          <w:p>
            <w:pPr>
              <w:pStyle w:val="IGCell"/>
              <w:spacing w:after="0"/>
            </w:pPr>
            <w:r>
              <w:rPr>
                <w:rFonts w:ascii="Arial" w:hAnsi="Arial" w:cs="Arial" w:eastAsia="Arial"/>
                <w:color w:val="192E43"/>
                <w:sz w:val="17"/>
              </w:rPr>
              <w:t>EP-3</w:t>
            </w:r>
          </w:p>
        </w:tc>
        <w:tc>
          <w:tcPr>
            <w:tcW w:type="dxa" w:w="1119"/>
            <w:tcMar>
              <w:top w:w="45" w:type="dxa"/>
              <w:left w:w="80" w:type="dxa"/>
              <w:bottom w:w="45" w:type="dxa"/>
              <w:right w:w="60" w:type="dxa"/>
            </w:tcMar>
            <w:vAlign w:val="top"/>
          </w:tcPr>
          <w:p>
            <w:pPr>
              <w:pStyle w:val="IGCell"/>
              <w:spacing w:after="0"/>
            </w:pPr>
            <w:r>
              <w:rPr>
                <w:rFonts w:ascii="Arial" w:hAnsi="Arial" w:cs="Arial" w:eastAsia="Arial"/>
                <w:color w:val="192E43"/>
                <w:sz w:val="17"/>
              </w:rPr>
              <w:t>Elena Marsh</w:t>
            </w:r>
          </w:p>
        </w:tc>
        <w:tc>
          <w:tcPr>
            <w:tcW w:type="dxa" w:w="1189"/>
            <w:tcMar>
              <w:top w:w="45" w:type="dxa"/>
              <w:left w:w="80" w:type="dxa"/>
              <w:bottom w:w="45" w:type="dxa"/>
              <w:right w:w="60" w:type="dxa"/>
            </w:tcMar>
            <w:vAlign w:val="top"/>
          </w:tcPr>
          <w:p>
            <w:pPr>
              <w:pStyle w:val="IGCell"/>
              <w:spacing w:after="0"/>
            </w:pPr>
            <w:r>
              <w:rPr>
                <w:rFonts w:ascii="Arial" w:hAnsi="Arial" w:cs="Arial" w:eastAsia="Arial"/>
                <w:color w:val="192E43"/>
                <w:sz w:val="17"/>
              </w:rPr>
              <w:t>Aug 13, 2027</w:t>
            </w:r>
          </w:p>
        </w:tc>
        <w:tc>
          <w:tcPr>
            <w:tcW w:type="dxa" w:w="1049"/>
            <w:tcMar>
              <w:top w:w="45" w:type="dxa"/>
              <w:left w:w="80" w:type="dxa"/>
              <w:bottom w:w="45" w:type="dxa"/>
              <w:right w:w="60" w:type="dxa"/>
            </w:tcMar>
            <w:vAlign w:val="top"/>
          </w:tcPr>
          <w:p>
            <w:pPr>
              <w:pStyle w:val="IGCell"/>
              <w:spacing w:after="0"/>
            </w:pPr>
            <w:r>
              <w:rPr>
                <w:rFonts w:ascii="Arial" w:hAnsi="Arial" w:cs="Arial" w:eastAsia="Arial"/>
                <w:color w:val="192E43"/>
                <w:sz w:val="17"/>
              </w:rPr>
              <w:t>Off Track</w:t>
            </w:r>
          </w:p>
        </w:tc>
      </w:tr>
      <w:tr>
        <w:trPr>
          <w:cantSplit w:val="true"/>
        </w:trPr>
        <w:tc>
          <w:tcPr>
            <w:tcW w:type="dxa" w:w="769"/>
            <w:tcMar>
              <w:top w:w="45" w:type="dxa"/>
              <w:left w:w="80" w:type="dxa"/>
              <w:bottom w:w="45" w:type="dxa"/>
              <w:right w:w="60" w:type="dxa"/>
            </w:tcMar>
            <w:vAlign w:val="top"/>
          </w:tcPr>
          <w:p>
            <w:pPr>
              <w:pStyle w:val="IGCell"/>
              <w:spacing w:after="0"/>
            </w:pPr>
            <w:r>
              <w:rPr>
                <w:rFonts w:ascii="Arial" w:hAnsi="Arial" w:cs="Arial" w:eastAsia="Arial"/>
                <w:b/>
                <w:color w:val="192E43"/>
                <w:sz w:val="17"/>
              </w:rPr>
              <w:t>OBJ-6</w:t>
            </w:r>
          </w:p>
        </w:tc>
        <w:tc>
          <w:tcPr>
            <w:tcW w:type="dxa" w:w="3076"/>
            <w:tcMar>
              <w:top w:w="45" w:type="dxa"/>
              <w:left w:w="80" w:type="dxa"/>
              <w:bottom w:w="45" w:type="dxa"/>
              <w:right w:w="60" w:type="dxa"/>
            </w:tcMar>
            <w:vAlign w:val="top"/>
          </w:tcPr>
          <w:p>
            <w:pPr>
              <w:pStyle w:val="IGCell"/>
              <w:spacing w:after="0"/>
            </w:pPr>
            <w:r>
              <w:rPr>
                <w:rFonts w:ascii="Arial" w:hAnsi="Arial" w:cs="Arial" w:eastAsia="Arial"/>
                <w:color w:val="192E43"/>
                <w:sz w:val="17"/>
              </w:rPr>
              <w:t>Establish one executive reporting and position-clearance process</w:t>
            </w:r>
          </w:p>
        </w:tc>
        <w:tc>
          <w:tcPr>
            <w:tcW w:type="dxa" w:w="1678"/>
            <w:tcMar>
              <w:top w:w="45" w:type="dxa"/>
              <w:left w:w="80" w:type="dxa"/>
              <w:bottom w:w="45" w:type="dxa"/>
              <w:right w:w="60" w:type="dxa"/>
            </w:tcMar>
            <w:vAlign w:val="top"/>
          </w:tcPr>
          <w:p>
            <w:pPr>
              <w:pStyle w:val="IGCell"/>
              <w:spacing w:after="0"/>
            </w:pPr>
            <w:r>
              <w:rPr>
                <w:rFonts w:ascii="Arial" w:hAnsi="Arial" w:cs="Arial" w:eastAsia="Arial"/>
                <w:color w:val="192E43"/>
                <w:sz w:val="17"/>
              </w:rPr>
              <w:t>Internal Process</w:t>
            </w:r>
          </w:p>
        </w:tc>
        <w:tc>
          <w:tcPr>
            <w:tcW w:type="dxa" w:w="769"/>
            <w:tcMar>
              <w:top w:w="45" w:type="dxa"/>
              <w:left w:w="80" w:type="dxa"/>
              <w:bottom w:w="45" w:type="dxa"/>
              <w:right w:w="60" w:type="dxa"/>
            </w:tcMar>
            <w:vAlign w:val="top"/>
          </w:tcPr>
          <w:p>
            <w:pPr>
              <w:pStyle w:val="IGCell"/>
              <w:spacing w:after="0"/>
            </w:pPr>
            <w:r>
              <w:rPr>
                <w:rFonts w:ascii="Arial" w:hAnsi="Arial" w:cs="Arial" w:eastAsia="Arial"/>
                <w:color w:val="192E43"/>
                <w:sz w:val="17"/>
              </w:rPr>
              <w:t>EP-4</w:t>
            </w:r>
          </w:p>
        </w:tc>
        <w:tc>
          <w:tcPr>
            <w:tcW w:type="dxa" w:w="1119"/>
            <w:tcMar>
              <w:top w:w="45" w:type="dxa"/>
              <w:left w:w="80" w:type="dxa"/>
              <w:bottom w:w="45" w:type="dxa"/>
              <w:right w:w="60" w:type="dxa"/>
            </w:tcMar>
            <w:vAlign w:val="top"/>
          </w:tcPr>
          <w:p>
            <w:pPr>
              <w:pStyle w:val="IGCell"/>
              <w:spacing w:after="0"/>
            </w:pPr>
            <w:r>
              <w:rPr>
                <w:rFonts w:ascii="Arial" w:hAnsi="Arial" w:cs="Arial" w:eastAsia="Arial"/>
                <w:color w:val="192E43"/>
                <w:sz w:val="17"/>
              </w:rPr>
              <w:t>Elena Marsh</w:t>
            </w:r>
          </w:p>
        </w:tc>
        <w:tc>
          <w:tcPr>
            <w:tcW w:type="dxa" w:w="1189"/>
            <w:tcMar>
              <w:top w:w="45" w:type="dxa"/>
              <w:left w:w="80" w:type="dxa"/>
              <w:bottom w:w="45" w:type="dxa"/>
              <w:right w:w="60" w:type="dxa"/>
            </w:tcMar>
            <w:vAlign w:val="top"/>
          </w:tcPr>
          <w:p>
            <w:pPr>
              <w:pStyle w:val="IGCell"/>
              <w:spacing w:after="0"/>
            </w:pPr>
            <w:r>
              <w:rPr>
                <w:rFonts w:ascii="Arial" w:hAnsi="Arial" w:cs="Arial" w:eastAsia="Arial"/>
                <w:color w:val="192E43"/>
                <w:sz w:val="17"/>
              </w:rPr>
              <w:t>Oct 15, 2027</w:t>
            </w:r>
          </w:p>
        </w:tc>
        <w:tc>
          <w:tcPr>
            <w:tcW w:type="dxa" w:w="1049"/>
            <w:tcMar>
              <w:top w:w="45" w:type="dxa"/>
              <w:left w:w="80" w:type="dxa"/>
              <w:bottom w:w="45" w:type="dxa"/>
              <w:right w:w="60" w:type="dxa"/>
            </w:tcMar>
            <w:vAlign w:val="top"/>
          </w:tcPr>
          <w:p>
            <w:pPr>
              <w:pStyle w:val="IGCell"/>
              <w:spacing w:after="0"/>
            </w:pPr>
            <w:r>
              <w:rPr>
                <w:rFonts w:ascii="Arial" w:hAnsi="Arial" w:cs="Arial" w:eastAsia="Arial"/>
                <w:color w:val="192E43"/>
                <w:sz w:val="17"/>
              </w:rPr>
              <w:t>On Track</w:t>
            </w:r>
          </w:p>
        </w:tc>
      </w:tr>
    </w:tbl>
    <w:p>
      <w:pPr>
        <w:spacing w:after="80" w:line="144" w:lineRule="auto"/>
      </w:pPr>
    </w:p>
    <w:p>
      <w:pPr>
        <w:pStyle w:val="Heading2"/>
      </w:pPr>
      <w:r>
        <w:t>5.2 Objective detail</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7488"/>
      </w:tblGrid>
      <w:tr>
        <w:trPr>
          <w:cantSplit w:val="true"/>
        </w:trPr>
        <w:tc>
          <w:tcPr>
            <w:tcW w:type="dxa" w:w="2160"/>
            <w:shd w:val="clear" w:color="auto" w:fill="192E43"/>
            <w:tcMar>
              <w:top w:w="55" w:type="dxa"/>
              <w:left w:w="90" w:type="dxa"/>
              <w:bottom w:w="55" w:type="dxa"/>
              <w:right w:w="60" w:type="dxa"/>
            </w:tcMar>
          </w:tcPr>
          <w:p>
            <w:pPr>
              <w:pStyle w:val="IGLabel"/>
              <w:keepNext/>
              <w:spacing w:after="0"/>
            </w:pPr>
            <w:r>
              <w:rPr>
                <w:rFonts w:ascii="Arial" w:hAnsi="Arial" w:cs="Arial" w:eastAsia="Arial"/>
                <w:b/>
                <w:color w:val="FFFFFF"/>
                <w:sz w:val="18"/>
              </w:rPr>
              <w:t>OBJ-1</w:t>
            </w:r>
          </w:p>
        </w:tc>
        <w:tc>
          <w:tcPr>
            <w:tcW w:type="dxa" w:w="7488"/>
            <w:shd w:val="clear" w:color="auto" w:fill="F2F4F6"/>
            <w:tcMar>
              <w:top w:w="55" w:type="dxa"/>
              <w:left w:w="90" w:type="dxa"/>
              <w:bottom w:w="55" w:type="dxa"/>
              <w:right w:w="80" w:type="dxa"/>
            </w:tcMar>
          </w:tcPr>
          <w:p>
            <w:pPr>
              <w:pStyle w:val="IGCell"/>
              <w:keepNext/>
              <w:spacing w:after="0"/>
            </w:pPr>
            <w:r>
              <w:rPr>
                <w:rFonts w:ascii="Arial" w:hAnsi="Arial" w:cs="Arial" w:eastAsia="Arial"/>
                <w:b/>
                <w:color w:val="192E43"/>
                <w:sz w:val="19"/>
              </w:rPr>
              <w:t>Secure state enabling authority for a county transportation local-option sales tax</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Intended outcome</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The General Assembly enacts SB 214, allowing Eastbrook County to place a transportation sales tax before voters, with a rate ceiling of at least 0.5 percent and no restriction that excludes bridge capital.</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Measure, baseline, target</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Measure: SB 214 enacted with the county option intact.</w:t>
            </w:r>
          </w:p>
          <w:p>
            <w:pPr>
              <w:pStyle w:val="IGCell"/>
              <w:keepNext/>
              <w:spacing w:after="0" w:before="40"/>
            </w:pPr>
            <w:r>
              <w:rPr>
                <w:rFonts w:ascii="Arial" w:hAnsi="Arial" w:cs="Arial" w:eastAsia="Arial"/>
                <w:color w:val="192E43"/>
                <w:sz w:val="17"/>
              </w:rPr>
              <w:t>Baseline: No county authority to levy a local-option transportation sales tax.</w:t>
            </w:r>
          </w:p>
          <w:p>
            <w:pPr>
              <w:pStyle w:val="IGCell"/>
              <w:keepNext/>
              <w:spacing w:after="0" w:before="40"/>
            </w:pPr>
            <w:r>
              <w:rPr>
                <w:rFonts w:ascii="Arial" w:hAnsi="Arial" w:cs="Arial" w:eastAsia="Arial"/>
                <w:color w:val="192E43"/>
                <w:sz w:val="17"/>
              </w:rPr>
              <w:t>Target: Enacted by the governor's action deadline; rate ceiling at or above 0.5 percent; bridge capital eligible.</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Lead and support</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Lead: Jordan Pike. Support: Elena Marsh. Serves EP-1.</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Dates and status</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Jan 4, 2027 to May 28, 2027. Status: On Track. Passed the originating chamber Mar 10. House committee vote set for Apr 14.</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Depends on</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Prime sponsor commitment. Governor's office posture (ADM-06). Association of Counties support. OBJ-3 and OBJ-4 depend on this outcome.</w:t>
            </w:r>
          </w:p>
        </w:tc>
      </w:tr>
      <w:tr>
        <w:trPr>
          <w:cantSplit w:val="true"/>
        </w:trPr>
        <w:tc>
          <w:tcPr>
            <w:tcW w:type="dxa" w:w="2160"/>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Not included</w:t>
            </w:r>
          </w:p>
        </w:tc>
        <w:tc>
          <w:tcPr>
            <w:tcW w:type="dxa" w:w="7488"/>
            <w:tcMar>
              <w:top w:w="55" w:type="dxa"/>
              <w:left w:w="90" w:type="dxa"/>
              <w:bottom w:w="55" w:type="dxa"/>
              <w:right w:w="80" w:type="dxa"/>
            </w:tcMar>
          </w:tcPr>
          <w:p>
            <w:pPr>
              <w:pStyle w:val="IGCell"/>
              <w:spacing w:after="0"/>
            </w:pPr>
            <w:r>
              <w:rPr>
                <w:rFonts w:ascii="Arial" w:hAnsi="Arial" w:cs="Arial" w:eastAsia="Arial"/>
                <w:color w:val="192E43"/>
                <w:sz w:val="17"/>
              </w:rPr>
              <w:t>Referendum campaign activity. Rate and project list decisions, which belong to the Board.</w:t>
            </w:r>
          </w:p>
        </w:tc>
      </w:tr>
    </w:tbl>
    <w:p>
      <w:pPr>
        <w:spacing w:after="80" w:line="144" w:lineRule="auto"/>
      </w:pP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7488"/>
      </w:tblGrid>
      <w:tr>
        <w:trPr>
          <w:cantSplit w:val="true"/>
        </w:trPr>
        <w:tc>
          <w:tcPr>
            <w:tcW w:type="dxa" w:w="2160"/>
            <w:shd w:val="clear" w:color="auto" w:fill="192E43"/>
            <w:tcMar>
              <w:top w:w="55" w:type="dxa"/>
              <w:left w:w="90" w:type="dxa"/>
              <w:bottom w:w="55" w:type="dxa"/>
              <w:right w:w="60" w:type="dxa"/>
            </w:tcMar>
          </w:tcPr>
          <w:p>
            <w:pPr>
              <w:pStyle w:val="IGLabel"/>
              <w:keepNext/>
              <w:spacing w:after="0"/>
            </w:pPr>
            <w:r>
              <w:rPr>
                <w:rFonts w:ascii="Arial" w:hAnsi="Arial" w:cs="Arial" w:eastAsia="Arial"/>
                <w:b/>
                <w:color w:val="FFFFFF"/>
                <w:sz w:val="18"/>
              </w:rPr>
              <w:t>OBJ-2</w:t>
            </w:r>
          </w:p>
        </w:tc>
        <w:tc>
          <w:tcPr>
            <w:tcW w:type="dxa" w:w="7488"/>
            <w:shd w:val="clear" w:color="auto" w:fill="F2F4F6"/>
            <w:tcMar>
              <w:top w:w="55" w:type="dxa"/>
              <w:left w:w="90" w:type="dxa"/>
              <w:bottom w:w="55" w:type="dxa"/>
              <w:right w:w="80" w:type="dxa"/>
            </w:tcMar>
          </w:tcPr>
          <w:p>
            <w:pPr>
              <w:pStyle w:val="IGCell"/>
              <w:keepNext/>
              <w:spacing w:after="0"/>
            </w:pPr>
            <w:r>
              <w:rPr>
                <w:rFonts w:ascii="Arial" w:hAnsi="Arial" w:cs="Arial" w:eastAsia="Arial"/>
                <w:b/>
                <w:color w:val="192E43"/>
                <w:sz w:val="19"/>
              </w:rPr>
              <w:t>Preserve county stormwater and permitting standards in state uniformity legislation</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Intended outcome</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HB 388 dies or is amended so counties keep standards stricter than the state minimum, and the related state stormwater permit rule does not reduce county authority.</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Measure, baseline, target</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Measure: County authority to apply stricter local standards retained.</w:t>
            </w:r>
          </w:p>
          <w:p>
            <w:pPr>
              <w:pStyle w:val="IGCell"/>
              <w:keepNext/>
              <w:spacing w:after="0" w:before="40"/>
            </w:pPr>
            <w:r>
              <w:rPr>
                <w:rFonts w:ascii="Arial" w:hAnsi="Arial" w:cs="Arial" w:eastAsia="Arial"/>
                <w:color w:val="192E43"/>
                <w:sz w:val="17"/>
              </w:rPr>
              <w:t>Baseline: HB 388 as filed would preempt stricter local standards.</w:t>
            </w:r>
          </w:p>
          <w:p>
            <w:pPr>
              <w:pStyle w:val="IGCell"/>
              <w:keepNext/>
              <w:spacing w:after="0" w:before="40"/>
            </w:pPr>
            <w:r>
              <w:rPr>
                <w:rFonts w:ascii="Arial" w:hAnsi="Arial" w:cs="Arial" w:eastAsia="Arial"/>
                <w:color w:val="192E43"/>
                <w:sz w:val="17"/>
              </w:rPr>
              <w:t>Target: Opt-out language in any enacted bill; written comments filed on the permit rule.</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Lead and support</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Lead: Jordan Pike. Support: Owen Reyes. Serves EP-2.</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Dates and status</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Jan 4, 2027 to May 14, 2027. Status: On Track. Opt-out amendment adopted in the House. Senate committee action set for Apr 16.</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Depends on</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Retention of opt-out language in the Senate committee (MS-019). State permit comments (ADM-05).</w:t>
            </w:r>
          </w:p>
        </w:tc>
      </w:tr>
      <w:tr>
        <w:trPr>
          <w:cantSplit w:val="true"/>
        </w:trPr>
        <w:tc>
          <w:tcPr>
            <w:tcW w:type="dxa" w:w="2160"/>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Not included</w:t>
            </w:r>
          </w:p>
        </w:tc>
        <w:tc>
          <w:tcPr>
            <w:tcW w:type="dxa" w:w="7488"/>
            <w:tcMar>
              <w:top w:w="55" w:type="dxa"/>
              <w:left w:w="90" w:type="dxa"/>
              <w:bottom w:w="55" w:type="dxa"/>
              <w:right w:w="80" w:type="dxa"/>
            </w:tcMar>
          </w:tcPr>
          <w:p>
            <w:pPr>
              <w:pStyle w:val="IGCell"/>
              <w:spacing w:after="0"/>
            </w:pPr>
            <w:r>
              <w:rPr>
                <w:rFonts w:ascii="Arial" w:hAnsi="Arial" w:cs="Arial" w:eastAsia="Arial"/>
                <w:color w:val="192E43"/>
                <w:sz w:val="17"/>
              </w:rPr>
              <w:t>Opposing state water quality floors. The objective seeks to retain authority to go above them.</w:t>
            </w:r>
          </w:p>
        </w:tc>
      </w:tr>
    </w:tbl>
    <w:p>
      <w:pPr>
        <w:spacing w:after="80" w:line="144" w:lineRule="auto"/>
      </w:pP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7488"/>
      </w:tblGrid>
      <w:tr>
        <w:trPr>
          <w:cantSplit w:val="true"/>
        </w:trPr>
        <w:tc>
          <w:tcPr>
            <w:tcW w:type="dxa" w:w="2160"/>
            <w:shd w:val="clear" w:color="auto" w:fill="192E43"/>
            <w:tcMar>
              <w:top w:w="55" w:type="dxa"/>
              <w:left w:w="90" w:type="dxa"/>
              <w:bottom w:w="55" w:type="dxa"/>
              <w:right w:w="60" w:type="dxa"/>
            </w:tcMar>
          </w:tcPr>
          <w:p>
            <w:pPr>
              <w:pStyle w:val="IGLabel"/>
              <w:keepNext/>
              <w:spacing w:after="0"/>
            </w:pPr>
            <w:r>
              <w:rPr>
                <w:rFonts w:ascii="Arial" w:hAnsi="Arial" w:cs="Arial" w:eastAsia="Arial"/>
                <w:b/>
                <w:color w:val="FFFFFF"/>
                <w:sz w:val="18"/>
              </w:rPr>
              <w:t>OBJ-3</w:t>
            </w:r>
          </w:p>
        </w:tc>
        <w:tc>
          <w:tcPr>
            <w:tcW w:type="dxa" w:w="7488"/>
            <w:shd w:val="clear" w:color="auto" w:fill="F2F4F6"/>
            <w:tcMar>
              <w:top w:w="55" w:type="dxa"/>
              <w:left w:w="90" w:type="dxa"/>
              <w:bottom w:w="55" w:type="dxa"/>
              <w:right w:w="80" w:type="dxa"/>
            </w:tcMar>
          </w:tcPr>
          <w:p>
            <w:pPr>
              <w:pStyle w:val="IGCell"/>
              <w:keepNext/>
              <w:spacing w:after="0"/>
            </w:pPr>
            <w:r>
              <w:rPr>
                <w:rFonts w:ascii="Arial" w:hAnsi="Arial" w:cs="Arial" w:eastAsia="Arial"/>
                <w:b/>
                <w:color w:val="192E43"/>
                <w:sz w:val="19"/>
              </w:rPr>
              <w:t>Position the Calloway River Bridge replacement for a competitive federal discretionary grant</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Intended outcome</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Eastbrook submits a complete application with written nonfederal match commitments from the County, Riverton City, State DOT, and the Transit Authority, delegation support, and a documented engagement record.</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Measure, baseline, target</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Measure: Application submitted with committed match.</w:t>
            </w:r>
          </w:p>
          <w:p>
            <w:pPr>
              <w:pStyle w:val="IGCell"/>
              <w:keepNext/>
              <w:spacing w:after="0" w:before="40"/>
            </w:pPr>
            <w:r>
              <w:rPr>
                <w:rFonts w:ascii="Arial" w:hAnsi="Arial" w:cs="Arial" w:eastAsia="Arial"/>
                <w:color w:val="192E43"/>
                <w:sz w:val="17"/>
              </w:rPr>
              <w:t>Baseline: No application; match sources not committed.</w:t>
            </w:r>
          </w:p>
          <w:p>
            <w:pPr>
              <w:pStyle w:val="IGCell"/>
              <w:keepNext/>
              <w:spacing w:after="0" w:before="40"/>
            </w:pPr>
            <w:r>
              <w:rPr>
                <w:rFonts w:ascii="Arial" w:hAnsi="Arial" w:cs="Arial" w:eastAsia="Arial"/>
                <w:color w:val="192E43"/>
                <w:sz w:val="17"/>
              </w:rPr>
              <w:t>Target: Submitted by the assumed federal deadline with match commitments in writing.</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Lead and support</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Lead: Samuel Ortega. Support: Gerald Whitcomb; Lena Park. Serves EP-1.</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Dates and status</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Jan 11, 2027 to Sep 30, 2027. Status: At Risk. Notice timing unconfirmed. Match depends on OBJ-1 and OBJ-4. Harlan County overlap unresolved.</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Depends on</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OBJ-1 for the match source. OBJ-4 for the executed agreement State DOT requires (MS-024). Federal notice timing (MS-025, assumed). Resolution of the Harlan County overlap (MS-023).</w:t>
            </w:r>
          </w:p>
        </w:tc>
      </w:tr>
      <w:tr>
        <w:trPr>
          <w:cantSplit w:val="true"/>
        </w:trPr>
        <w:tc>
          <w:tcPr>
            <w:tcW w:type="dxa" w:w="2160"/>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Not included</w:t>
            </w:r>
          </w:p>
        </w:tc>
        <w:tc>
          <w:tcPr>
            <w:tcW w:type="dxa" w:w="7488"/>
            <w:tcMar>
              <w:top w:w="55" w:type="dxa"/>
              <w:left w:w="90" w:type="dxa"/>
              <w:bottom w:w="55" w:type="dxa"/>
              <w:right w:w="80" w:type="dxa"/>
            </w:tcMar>
          </w:tcPr>
          <w:p>
            <w:pPr>
              <w:pStyle w:val="IGCell"/>
              <w:spacing w:after="0"/>
            </w:pPr>
            <w:r>
              <w:rPr>
                <w:rFonts w:ascii="Arial" w:hAnsi="Arial" w:cs="Arial" w:eastAsia="Arial"/>
                <w:color w:val="192E43"/>
                <w:sz w:val="17"/>
              </w:rPr>
              <w:t>Preparing the application, which Public Works leads.</w:t>
            </w:r>
          </w:p>
        </w:tc>
      </w:tr>
    </w:tbl>
    <w:p>
      <w:pPr>
        <w:spacing w:after="80" w:line="144" w:lineRule="auto"/>
      </w:pP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7488"/>
      </w:tblGrid>
      <w:tr>
        <w:trPr>
          <w:cantSplit w:val="true"/>
        </w:trPr>
        <w:tc>
          <w:tcPr>
            <w:tcW w:type="dxa" w:w="2160"/>
            <w:shd w:val="clear" w:color="auto" w:fill="192E43"/>
            <w:tcMar>
              <w:top w:w="55" w:type="dxa"/>
              <w:left w:w="90" w:type="dxa"/>
              <w:bottom w:w="55" w:type="dxa"/>
              <w:right w:w="60" w:type="dxa"/>
            </w:tcMar>
          </w:tcPr>
          <w:p>
            <w:pPr>
              <w:pStyle w:val="IGLabel"/>
              <w:keepNext/>
              <w:spacing w:after="0"/>
            </w:pPr>
            <w:r>
              <w:rPr>
                <w:rFonts w:ascii="Arial" w:hAnsi="Arial" w:cs="Arial" w:eastAsia="Arial"/>
                <w:b/>
                <w:color w:val="FFFFFF"/>
                <w:sz w:val="18"/>
              </w:rPr>
              <w:t>OBJ-4</w:t>
            </w:r>
          </w:p>
        </w:tc>
        <w:tc>
          <w:tcPr>
            <w:tcW w:type="dxa" w:w="7488"/>
            <w:shd w:val="clear" w:color="auto" w:fill="F2F4F6"/>
            <w:tcMar>
              <w:top w:w="55" w:type="dxa"/>
              <w:left w:w="90" w:type="dxa"/>
              <w:bottom w:w="55" w:type="dxa"/>
              <w:right w:w="80" w:type="dxa"/>
            </w:tcMar>
          </w:tcPr>
          <w:p>
            <w:pPr>
              <w:pStyle w:val="IGCell"/>
              <w:keepNext/>
              <w:spacing w:after="0"/>
            </w:pPr>
            <w:r>
              <w:rPr>
                <w:rFonts w:ascii="Arial" w:hAnsi="Arial" w:cs="Arial" w:eastAsia="Arial"/>
                <w:b/>
                <w:color w:val="192E43"/>
                <w:sz w:val="19"/>
              </w:rPr>
              <w:t>Execute the Calloway River Bridge interlocal agreement</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Intended outcome</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The County, Riverton City, and the River Valley Transit Authority approve and execute an agreement allocating design, construction, ownership, maintenance, and nonfederal cost responsibility.</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Measure, baseline, target</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Measure: Agreement executed by all three governing bodies.</w:t>
            </w:r>
          </w:p>
          <w:p>
            <w:pPr>
              <w:pStyle w:val="IGCell"/>
              <w:keepNext/>
              <w:spacing w:after="0" w:before="40"/>
            </w:pPr>
            <w:r>
              <w:rPr>
                <w:rFonts w:ascii="Arial" w:hAnsi="Arial" w:cs="Arial" w:eastAsia="Arial"/>
                <w:color w:val="192E43"/>
                <w:sz w:val="17"/>
              </w:rPr>
              <w:t>Baseline: Informal understanding only; no term sheet.</w:t>
            </w:r>
          </w:p>
          <w:p>
            <w:pPr>
              <w:pStyle w:val="IGCell"/>
              <w:keepNext/>
              <w:spacing w:after="0" w:before="40"/>
            </w:pPr>
            <w:r>
              <w:rPr>
                <w:rFonts w:ascii="Arial" w:hAnsi="Arial" w:cs="Arial" w:eastAsia="Arial"/>
                <w:color w:val="192E43"/>
                <w:sz w:val="17"/>
              </w:rPr>
              <w:t>Target: Executed by Aug 31, 2027.</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Lead and support</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Lead: Alicia Brandt. Support: Owen Reyes. Serves EP-3.</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Dates and status</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Jan 18, 2027 to Aug 31, 2027. Status: At Risk. Cost allocation stalemate escalated and resolved Apr 1. Term sheet slipped to May 14.</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Depends on</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County negotiating range, authorized Apr 1 (ESC-01). Partner counsel review. Governing body calendars (MS-029).</w:t>
            </w:r>
          </w:p>
        </w:tc>
      </w:tr>
      <w:tr>
        <w:trPr>
          <w:cantSplit w:val="true"/>
        </w:trPr>
        <w:tc>
          <w:tcPr>
            <w:tcW w:type="dxa" w:w="2160"/>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Not included</w:t>
            </w:r>
          </w:p>
        </w:tc>
        <w:tc>
          <w:tcPr>
            <w:tcW w:type="dxa" w:w="7488"/>
            <w:tcMar>
              <w:top w:w="55" w:type="dxa"/>
              <w:left w:w="90" w:type="dxa"/>
              <w:bottom w:w="55" w:type="dxa"/>
              <w:right w:w="80" w:type="dxa"/>
            </w:tcMar>
          </w:tcPr>
          <w:p>
            <w:pPr>
              <w:pStyle w:val="IGCell"/>
              <w:spacing w:after="0"/>
            </w:pPr>
            <w:r>
              <w:rPr>
                <w:rFonts w:ascii="Arial" w:hAnsi="Arial" w:cs="Arial" w:eastAsia="Arial"/>
                <w:color w:val="192E43"/>
                <w:sz w:val="17"/>
              </w:rPr>
              <w:t>Operating terms after construction. Those are a separate agreement.</w:t>
            </w:r>
          </w:p>
        </w:tc>
      </w:tr>
    </w:tbl>
    <w:p>
      <w:pPr>
        <w:spacing w:after="80" w:line="144" w:lineRule="auto"/>
      </w:pP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7488"/>
      </w:tblGrid>
      <w:tr>
        <w:trPr>
          <w:cantSplit w:val="true"/>
        </w:trPr>
        <w:tc>
          <w:tcPr>
            <w:tcW w:type="dxa" w:w="2160"/>
            <w:shd w:val="clear" w:color="auto" w:fill="192E43"/>
            <w:tcMar>
              <w:top w:w="55" w:type="dxa"/>
              <w:left w:w="90" w:type="dxa"/>
              <w:bottom w:w="55" w:type="dxa"/>
              <w:right w:w="60" w:type="dxa"/>
            </w:tcMar>
          </w:tcPr>
          <w:p>
            <w:pPr>
              <w:pStyle w:val="IGLabel"/>
              <w:keepNext/>
              <w:spacing w:after="0"/>
            </w:pPr>
            <w:r>
              <w:rPr>
                <w:rFonts w:ascii="Arial" w:hAnsi="Arial" w:cs="Arial" w:eastAsia="Arial"/>
                <w:b/>
                <w:color w:val="FFFFFF"/>
                <w:sz w:val="18"/>
              </w:rPr>
              <w:t>OBJ-5</w:t>
            </w:r>
          </w:p>
        </w:tc>
        <w:tc>
          <w:tcPr>
            <w:tcW w:type="dxa" w:w="7488"/>
            <w:shd w:val="clear" w:color="auto" w:fill="F2F4F6"/>
            <w:tcMar>
              <w:top w:w="55" w:type="dxa"/>
              <w:left w:w="90" w:type="dxa"/>
              <w:bottom w:w="55" w:type="dxa"/>
              <w:right w:w="80" w:type="dxa"/>
            </w:tcMar>
          </w:tcPr>
          <w:p>
            <w:pPr>
              <w:pStyle w:val="IGCell"/>
              <w:keepNext/>
              <w:spacing w:after="0"/>
            </w:pPr>
            <w:r>
              <w:rPr>
                <w:rFonts w:ascii="Arial" w:hAnsi="Arial" w:cs="Arial" w:eastAsia="Arial"/>
                <w:b/>
                <w:color w:val="192E43"/>
                <w:sz w:val="19"/>
              </w:rPr>
              <w:t>Establish a standing coordination process with the Three Fords Tribal Nation</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Intended outcome</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A written coordination protocol is agreed, at least two leader-level meetings are held before the application is finalized, and the Nation's concerns about the east-bank corridor are documented and conveyed to the federal lead agency.</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Measure, baseline, target</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Measure: Protocol agreed; two leader-level meetings held; concerns documented.</w:t>
            </w:r>
          </w:p>
          <w:p>
            <w:pPr>
              <w:pStyle w:val="IGCell"/>
              <w:keepNext/>
              <w:spacing w:after="0" w:before="40"/>
            </w:pPr>
            <w:r>
              <w:rPr>
                <w:rFonts w:ascii="Arial" w:hAnsi="Arial" w:cs="Arial" w:eastAsia="Arial"/>
                <w:color w:val="192E43"/>
                <w:sz w:val="17"/>
              </w:rPr>
              <w:t>Baseline: No standing channel; staff-level contact only.</w:t>
            </w:r>
          </w:p>
          <w:p>
            <w:pPr>
              <w:pStyle w:val="IGCell"/>
              <w:keepNext/>
              <w:spacing w:after="0" w:before="40"/>
            </w:pPr>
            <w:r>
              <w:rPr>
                <w:rFonts w:ascii="Arial" w:hAnsi="Arial" w:cs="Arial" w:eastAsia="Arial"/>
                <w:color w:val="192E43"/>
                <w:sz w:val="17"/>
              </w:rPr>
              <w:t>Target: Protocol agreed and two leader-level meetings held by Aug 13, 2027.</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Lead and support</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Lead: Elena Marsh. Support: Alicia Brandt. Serves EP-3.</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Dates and status</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Jan 25, 2027 to Aug 13, 2027. Status: Off Track. Invitation letter awaiting County Executive signature since Mar 22.</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Depends on</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County Executive signature on the invitation letter (ESC-05). Names of Tribal contacts, to be confirmed. Federal lead agency scoping (ADM-03).</w:t>
            </w:r>
          </w:p>
        </w:tc>
      </w:tr>
      <w:tr>
        <w:trPr>
          <w:cantSplit w:val="true"/>
        </w:trPr>
        <w:tc>
          <w:tcPr>
            <w:tcW w:type="dxa" w:w="2160"/>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Not included</w:t>
            </w:r>
          </w:p>
        </w:tc>
        <w:tc>
          <w:tcPr>
            <w:tcW w:type="dxa" w:w="7488"/>
            <w:tcMar>
              <w:top w:w="55" w:type="dxa"/>
              <w:left w:w="90" w:type="dxa"/>
              <w:bottom w:w="55" w:type="dxa"/>
              <w:right w:w="80" w:type="dxa"/>
            </w:tcMar>
          </w:tcPr>
          <w:p>
            <w:pPr>
              <w:pStyle w:val="IGCell"/>
              <w:spacing w:after="0"/>
            </w:pPr>
            <w:r>
              <w:rPr>
                <w:rFonts w:ascii="Arial" w:hAnsi="Arial" w:cs="Arial" w:eastAsia="Arial"/>
                <w:color w:val="192E43"/>
                <w:sz w:val="17"/>
              </w:rPr>
              <w:t>Consultation obligations that belong to the federal lead agency.</w:t>
            </w:r>
          </w:p>
        </w:tc>
      </w:tr>
    </w:tbl>
    <w:p>
      <w:pPr>
        <w:spacing w:after="80" w:line="144" w:lineRule="auto"/>
      </w:pP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7488"/>
      </w:tblGrid>
      <w:tr>
        <w:trPr>
          <w:cantSplit w:val="true"/>
        </w:trPr>
        <w:tc>
          <w:tcPr>
            <w:tcW w:type="dxa" w:w="2160"/>
            <w:shd w:val="clear" w:color="auto" w:fill="192E43"/>
            <w:tcMar>
              <w:top w:w="55" w:type="dxa"/>
              <w:left w:w="90" w:type="dxa"/>
              <w:bottom w:w="55" w:type="dxa"/>
              <w:right w:w="60" w:type="dxa"/>
            </w:tcMar>
          </w:tcPr>
          <w:p>
            <w:pPr>
              <w:pStyle w:val="IGLabel"/>
              <w:keepNext/>
              <w:spacing w:after="0"/>
            </w:pPr>
            <w:r>
              <w:rPr>
                <w:rFonts w:ascii="Arial" w:hAnsi="Arial" w:cs="Arial" w:eastAsia="Arial"/>
                <w:b/>
                <w:color w:val="FFFFFF"/>
                <w:sz w:val="18"/>
              </w:rPr>
              <w:t>OBJ-6</w:t>
            </w:r>
          </w:p>
        </w:tc>
        <w:tc>
          <w:tcPr>
            <w:tcW w:type="dxa" w:w="7488"/>
            <w:shd w:val="clear" w:color="auto" w:fill="F2F4F6"/>
            <w:tcMar>
              <w:top w:w="55" w:type="dxa"/>
              <w:left w:w="90" w:type="dxa"/>
              <w:bottom w:w="55" w:type="dxa"/>
              <w:right w:w="80" w:type="dxa"/>
            </w:tcMar>
          </w:tcPr>
          <w:p>
            <w:pPr>
              <w:pStyle w:val="IGCell"/>
              <w:keepNext/>
              <w:spacing w:after="0"/>
            </w:pPr>
            <w:r>
              <w:rPr>
                <w:rFonts w:ascii="Arial" w:hAnsi="Arial" w:cs="Arial" w:eastAsia="Arial"/>
                <w:b/>
                <w:color w:val="192E43"/>
                <w:sz w:val="19"/>
              </w:rPr>
              <w:t>Establish one executive reporting and position-clearance process</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Intended outcome</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All public positions on state and federal matters clear through a written protocol, and leadership receives a quarterly intergovernmental report within 15 days of quarter end.</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Measure, baseline, target</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Measure: Protocol adopted; Q1 to Q3 reports delivered on time.</w:t>
            </w:r>
          </w:p>
          <w:p>
            <w:pPr>
              <w:pStyle w:val="IGCell"/>
              <w:keepNext/>
              <w:spacing w:after="0" w:before="40"/>
            </w:pPr>
            <w:r>
              <w:rPr>
                <w:rFonts w:ascii="Arial" w:hAnsi="Arial" w:cs="Arial" w:eastAsia="Arial"/>
                <w:color w:val="192E43"/>
                <w:sz w:val="17"/>
              </w:rPr>
              <w:t>Baseline: Positions cleared case by case; no regular report.</w:t>
            </w:r>
          </w:p>
          <w:p>
            <w:pPr>
              <w:pStyle w:val="IGCell"/>
              <w:keepNext/>
              <w:spacing w:after="0" w:before="40"/>
            </w:pPr>
            <w:r>
              <w:rPr>
                <w:rFonts w:ascii="Arial" w:hAnsi="Arial" w:cs="Arial" w:eastAsia="Arial"/>
                <w:color w:val="192E43"/>
                <w:sz w:val="17"/>
              </w:rPr>
              <w:t>Target: Protocol adopted by Jan 22; three quarterly reports delivered on time.</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Lead and support</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Lead: Elena Marsh. Support: Owen Reyes. Serves EP-4.</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Dates and status</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Jan 4, 2027 to Oct 15, 2027. Status: On Track. Protocol approved Jan 29, one week after the Jan 22 target (MS-002). The delay did not hold up implementation or reporting. Q1 report in draft for Apr 15.</w:t>
            </w:r>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Depends on</w:t>
            </w:r>
          </w:p>
        </w:tc>
        <w:tc>
          <w:tcPr>
            <w:tcW w:type="dxa" w:w="7488"/>
            <w:tcMar>
              <w:top w:w="55" w:type="dxa"/>
              <w:left w:w="90" w:type="dxa"/>
              <w:bottom w:w="55" w:type="dxa"/>
              <w:right w:w="80" w:type="dxa"/>
            </w:tcMar>
          </w:tcPr>
          <w:p>
            <w:pPr>
              <w:pStyle w:val="IGCell"/>
              <w:keepNext/>
              <w:spacing w:after="0"/>
            </w:pPr>
            <w:r>
              <w:rPr>
                <w:rFonts w:ascii="Arial" w:hAnsi="Arial" w:cs="Arial" w:eastAsia="Arial"/>
                <w:color w:val="192E43"/>
                <w:sz w:val="17"/>
              </w:rPr>
              <w:t>County Executive approval of the protocol, complete. Deputy County Executive's weekly review time.</w:t>
            </w:r>
          </w:p>
        </w:tc>
      </w:tr>
      <w:tr>
        <w:trPr>
          <w:cantSplit w:val="true"/>
        </w:trPr>
        <w:tc>
          <w:tcPr>
            <w:tcW w:type="dxa" w:w="2160"/>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Not included</w:t>
            </w:r>
          </w:p>
        </w:tc>
        <w:tc>
          <w:tcPr>
            <w:tcW w:type="dxa" w:w="7488"/>
            <w:tcMar>
              <w:top w:w="55" w:type="dxa"/>
              <w:left w:w="90" w:type="dxa"/>
              <w:bottom w:w="55" w:type="dxa"/>
              <w:right w:w="80" w:type="dxa"/>
            </w:tcMar>
          </w:tcPr>
          <w:p>
            <w:pPr>
              <w:pStyle w:val="IGCell"/>
              <w:spacing w:after="0"/>
            </w:pPr>
            <w:r>
              <w:rPr>
                <w:rFonts w:ascii="Arial" w:hAnsi="Arial" w:cs="Arial" w:eastAsia="Arial"/>
                <w:color w:val="192E43"/>
                <w:sz w:val="17"/>
              </w:rPr>
              <w:t>Public communications and media handling.</w:t>
            </w:r>
          </w:p>
        </w:tc>
      </w:tr>
    </w:tbl>
    <w:p>
      <w:pPr>
        <w:spacing w:after="80" w:line="144" w:lineRule="auto"/>
      </w:pPr>
    </w:p>
    <w:p>
      <w:pPr>
        <w:pStyle w:val="IGSmall"/>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Practitioner note.  </w:t>
      </w:r>
      <w:r>
        <w:rPr>
          <w:rFonts w:ascii="Arial" w:hAnsi="Arial" w:cs="Arial" w:eastAsia="Arial"/>
          <w:color w:val="52606D"/>
          <w:sz w:val="17"/>
        </w:rPr>
        <w:t>Objectives are judged on significance and verifiable results, not on who makes the decision. Five of the six depend on another government. OBJ-6 is an internal improvement and still qualifies: leadership gets one clearance process and a standing report. Monitoring bills, attending hearings, and answering inquiries are real work, and they are in the Actions log, not here. OBJ-6 is On Track even though its protocol milestone (MS-002) was due Jan 22 and was completed Jan 29. The one-week delay is on the record in both files. It did not stop the protocol from being applied to HB 388 on Feb 2 or the Q1 report from being drafted on time, so the objective stays On Track while the milestone shows as completed late. OBJ-5 is Off Track because one signature is overdue, not because the relationship failed. The plan records the cause so leadership sees a decision to make, not a staff problem.</w:t>
      </w:r>
    </w:p>
    <w:p>
      <w:pPr>
        <w:pStyle w:val="Heading1"/>
      </w:pPr>
      <w:r>
        <w:t>6. Priority Governmental Relationships</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Identifies the relationships that determine success, who owns each one, and what the office needs from each. Contacts, relationship health, cadence, and contact history are kept in the tracker.</w:t>
      </w:r>
    </w:p>
    <w:p>
      <w:pPr>
        <w:pStyle w:val="Heading2"/>
      </w:pPr>
      <w:r>
        <w:t>6.1 Relationship tiers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015"/>
        <w:gridCol w:w="4464"/>
        <w:gridCol w:w="3168"/>
      </w:tblGrid>
      <w:tr>
        <w:trPr>
          <w:tblHeader w:val="true"/>
          <w:cantSplit w:val="true"/>
        </w:trPr>
        <w:tc>
          <w:tcPr>
            <w:tcW w:type="dxa" w:w="2016"/>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Tier</w:t>
            </w:r>
          </w:p>
        </w:tc>
        <w:tc>
          <w:tcPr>
            <w:tcW w:type="dxa" w:w="4464"/>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Meaning</w:t>
            </w:r>
          </w:p>
        </w:tc>
        <w:tc>
          <w:tcPr>
            <w:tcW w:type="dxa" w:w="3168"/>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Default contact standard</w:t>
            </w:r>
          </w:p>
        </w:tc>
      </w:tr>
      <w:tr>
        <w:trPr>
          <w:cantSplit w:val="true"/>
        </w:trPr>
        <w:tc>
          <w:tcPr>
            <w:tcW w:type="dxa" w:w="2016"/>
            <w:tcMar>
              <w:top w:w="45" w:type="dxa"/>
              <w:left w:w="80" w:type="dxa"/>
              <w:bottom w:w="45" w:type="dxa"/>
              <w:right w:w="60" w:type="dxa"/>
            </w:tcMar>
          </w:tcPr>
          <w:p>
            <w:pPr>
              <w:pStyle w:val="IGCell"/>
              <w:keepNext/>
              <w:spacing w:after="0"/>
            </w:pPr>
            <w:r>
              <w:rPr>
                <w:rFonts w:ascii="Arial" w:hAnsi="Arial" w:cs="Arial" w:eastAsia="Arial"/>
                <w:color w:val="192E43"/>
                <w:sz w:val="17"/>
              </w:rPr>
              <w:t>Tier 1 Strategic</w:t>
            </w:r>
          </w:p>
        </w:tc>
        <w:tc>
          <w:tcPr>
            <w:tcW w:type="dxa" w:w="4464"/>
            <w:tcMar>
              <w:top w:w="45" w:type="dxa"/>
              <w:left w:w="80" w:type="dxa"/>
              <w:bottom w:w="45" w:type="dxa"/>
              <w:right w:w="60" w:type="dxa"/>
            </w:tcMar>
          </w:tcPr>
          <w:p>
            <w:pPr>
              <w:pStyle w:val="IGCell"/>
              <w:keepNext/>
              <w:spacing w:after="0"/>
            </w:pPr>
            <w:r>
              <w:rPr>
                <w:rFonts w:ascii="Arial" w:hAnsi="Arial" w:cs="Arial" w:eastAsia="Arial"/>
                <w:color w:val="192E43"/>
                <w:sz w:val="17"/>
              </w:rPr>
              <w:t>The relationship decides whether an objective succeeds.</w:t>
            </w:r>
          </w:p>
        </w:tc>
        <w:tc>
          <w:tcPr>
            <w:tcW w:type="dxa" w:w="3168"/>
            <w:tcMar>
              <w:top w:w="45" w:type="dxa"/>
              <w:left w:w="80" w:type="dxa"/>
              <w:bottom w:w="45" w:type="dxa"/>
              <w:right w:w="60" w:type="dxa"/>
            </w:tcMar>
          </w:tcPr>
          <w:p>
            <w:pPr>
              <w:pStyle w:val="IGCell"/>
              <w:keepNext/>
              <w:spacing w:after="0"/>
            </w:pPr>
            <w:r>
              <w:rPr>
                <w:rFonts w:ascii="Arial" w:hAnsi="Arial" w:cs="Arial" w:eastAsia="Arial"/>
                <w:color w:val="192E43"/>
                <w:sz w:val="17"/>
              </w:rPr>
              <w:t>Monthly or more often. Weekly during active sessions.</w:t>
            </w:r>
          </w:p>
        </w:tc>
      </w:tr>
      <w:tr>
        <w:trPr>
          <w:cantSplit w:val="true"/>
        </w:trPr>
        <w:tc>
          <w:tcPr>
            <w:tcW w:type="dxa" w:w="2016"/>
            <w:tcMar>
              <w:top w:w="45" w:type="dxa"/>
              <w:left w:w="80" w:type="dxa"/>
              <w:bottom w:w="45" w:type="dxa"/>
              <w:right w:w="60" w:type="dxa"/>
            </w:tcMar>
          </w:tcPr>
          <w:p>
            <w:pPr>
              <w:pStyle w:val="IGCell"/>
              <w:keepNext/>
              <w:spacing w:after="0"/>
            </w:pPr>
            <w:r>
              <w:rPr>
                <w:rFonts w:ascii="Arial" w:hAnsi="Arial" w:cs="Arial" w:eastAsia="Arial"/>
                <w:color w:val="192E43"/>
                <w:sz w:val="17"/>
              </w:rPr>
              <w:t>Tier 2 Priority</w:t>
            </w:r>
          </w:p>
        </w:tc>
        <w:tc>
          <w:tcPr>
            <w:tcW w:type="dxa" w:w="4464"/>
            <w:tcMar>
              <w:top w:w="45" w:type="dxa"/>
              <w:left w:w="80" w:type="dxa"/>
              <w:bottom w:w="45" w:type="dxa"/>
              <w:right w:w="60" w:type="dxa"/>
            </w:tcMar>
          </w:tcPr>
          <w:p>
            <w:pPr>
              <w:pStyle w:val="IGCell"/>
              <w:keepNext/>
              <w:spacing w:after="0"/>
            </w:pPr>
            <w:r>
              <w:rPr>
                <w:rFonts w:ascii="Arial" w:hAnsi="Arial" w:cs="Arial" w:eastAsia="Arial"/>
                <w:color w:val="192E43"/>
                <w:sz w:val="17"/>
              </w:rPr>
              <w:t>Important to one or more objectives but not decisive alone.</w:t>
            </w:r>
          </w:p>
        </w:tc>
        <w:tc>
          <w:tcPr>
            <w:tcW w:type="dxa" w:w="3168"/>
            <w:tcMar>
              <w:top w:w="45" w:type="dxa"/>
              <w:left w:w="80" w:type="dxa"/>
              <w:bottom w:w="45" w:type="dxa"/>
              <w:right w:w="60" w:type="dxa"/>
            </w:tcMar>
          </w:tcPr>
          <w:p>
            <w:pPr>
              <w:pStyle w:val="IGCell"/>
              <w:keepNext/>
              <w:spacing w:after="0"/>
            </w:pPr>
            <w:r>
              <w:rPr>
                <w:rFonts w:ascii="Arial" w:hAnsi="Arial" w:cs="Arial" w:eastAsia="Arial"/>
                <w:color w:val="192E43"/>
                <w:sz w:val="17"/>
              </w:rPr>
              <w:t>Monthly to quarterly.</w:t>
            </w:r>
          </w:p>
        </w:tc>
      </w:tr>
      <w:tr>
        <w:trPr>
          <w:cantSplit w:val="true"/>
        </w:trPr>
        <w:tc>
          <w:tcPr>
            <w:tcW w:type="dxa" w:w="2016"/>
            <w:tcMar>
              <w:top w:w="45" w:type="dxa"/>
              <w:left w:w="80" w:type="dxa"/>
              <w:bottom w:w="45" w:type="dxa"/>
              <w:right w:w="60" w:type="dxa"/>
            </w:tcMar>
          </w:tcPr>
          <w:p>
            <w:pPr>
              <w:pStyle w:val="IGCell"/>
              <w:keepNext/>
              <w:spacing w:after="0"/>
            </w:pPr>
            <w:r>
              <w:rPr>
                <w:rFonts w:ascii="Arial" w:hAnsi="Arial" w:cs="Arial" w:eastAsia="Arial"/>
                <w:color w:val="192E43"/>
                <w:sz w:val="17"/>
              </w:rPr>
              <w:t>Tier 3 Maintain</w:t>
            </w:r>
          </w:p>
        </w:tc>
        <w:tc>
          <w:tcPr>
            <w:tcW w:type="dxa" w:w="4464"/>
            <w:tcMar>
              <w:top w:w="45" w:type="dxa"/>
              <w:left w:w="80" w:type="dxa"/>
              <w:bottom w:w="45" w:type="dxa"/>
              <w:right w:w="60" w:type="dxa"/>
            </w:tcMar>
          </w:tcPr>
          <w:p>
            <w:pPr>
              <w:pStyle w:val="IGCell"/>
              <w:keepNext/>
              <w:spacing w:after="0"/>
            </w:pPr>
            <w:r>
              <w:rPr>
                <w:rFonts w:ascii="Arial" w:hAnsi="Arial" w:cs="Arial" w:eastAsia="Arial"/>
                <w:color w:val="192E43"/>
                <w:sz w:val="17"/>
              </w:rPr>
              <w:t>Useful to keep warm. Needed on specific matters.</w:t>
            </w:r>
          </w:p>
        </w:tc>
        <w:tc>
          <w:tcPr>
            <w:tcW w:type="dxa" w:w="3168"/>
            <w:tcMar>
              <w:top w:w="45" w:type="dxa"/>
              <w:left w:w="80" w:type="dxa"/>
              <w:bottom w:w="45" w:type="dxa"/>
              <w:right w:w="60" w:type="dxa"/>
            </w:tcMar>
          </w:tcPr>
          <w:p>
            <w:pPr>
              <w:pStyle w:val="IGCell"/>
              <w:keepNext/>
              <w:spacing w:after="0"/>
            </w:pPr>
            <w:r>
              <w:rPr>
                <w:rFonts w:ascii="Arial" w:hAnsi="Arial" w:cs="Arial" w:eastAsia="Arial"/>
                <w:color w:val="192E43"/>
                <w:sz w:val="17"/>
              </w:rPr>
              <w:t>Quarterly.</w:t>
            </w:r>
          </w:p>
        </w:tc>
      </w:tr>
      <w:tr>
        <w:trPr>
          <w:cantSplit w:val="true"/>
        </w:trPr>
        <w:tc>
          <w:tcPr>
            <w:tcW w:type="dxa" w:w="2016"/>
            <w:tcMar>
              <w:top w:w="45" w:type="dxa"/>
              <w:left w:w="80" w:type="dxa"/>
              <w:bottom w:w="45" w:type="dxa"/>
              <w:right w:w="60" w:type="dxa"/>
            </w:tcMar>
          </w:tcPr>
          <w:p>
            <w:pPr>
              <w:pStyle w:val="IGCell"/>
              <w:spacing w:after="0"/>
            </w:pPr>
            <w:r>
              <w:rPr>
                <w:rFonts w:ascii="Arial" w:hAnsi="Arial" w:cs="Arial" w:eastAsia="Arial"/>
                <w:color w:val="192E43"/>
                <w:sz w:val="17"/>
              </w:rPr>
              <w:t>Tier 4 Monitor</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Watch for developments. No active engagement planned.</w:t>
            </w:r>
          </w:p>
        </w:tc>
        <w:tc>
          <w:tcPr>
            <w:tcW w:type="dxa" w:w="3168"/>
            <w:tcMar>
              <w:top w:w="45" w:type="dxa"/>
              <w:left w:w="80" w:type="dxa"/>
              <w:bottom w:w="45" w:type="dxa"/>
              <w:right w:w="60" w:type="dxa"/>
            </w:tcMar>
          </w:tcPr>
          <w:p>
            <w:pPr>
              <w:pStyle w:val="IGCell"/>
              <w:spacing w:after="0"/>
            </w:pPr>
            <w:r>
              <w:rPr>
                <w:rFonts w:ascii="Arial" w:hAnsi="Arial" w:cs="Arial" w:eastAsia="Arial"/>
                <w:color w:val="192E43"/>
                <w:sz w:val="17"/>
              </w:rPr>
              <w:t>Semiannual or as needed.</w:t>
            </w:r>
          </w:p>
        </w:tc>
      </w:tr>
    </w:tbl>
    <w:p>
      <w:pPr>
        <w:spacing w:after="80" w:line="144" w:lineRule="auto"/>
      </w:pP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4824"/>
        <w:gridCol w:w="4824"/>
      </w:tblGrid>
      <w:tr>
        <w:trPr>
          <w:tblHeader w:val="true"/>
          <w:cantSplit w:val="true"/>
        </w:trPr>
        <w:tc>
          <w:tcPr>
            <w:tcW w:type="dxa" w:w="4824"/>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Posture (their position on your agenda)</w:t>
            </w:r>
          </w:p>
        </w:tc>
        <w:tc>
          <w:tcPr>
            <w:tcW w:type="dxa" w:w="4824"/>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Relationship health (how you work together)</w:t>
            </w:r>
          </w:p>
        </w:tc>
      </w:tr>
      <w:tr>
        <w:trPr>
          <w:cantSplit w:val="true"/>
        </w:trPr>
        <w:tc>
          <w:tcPr>
            <w:tcW w:type="dxa" w:w="4824"/>
            <w:tcMar>
              <w:top w:w="45" w:type="dxa"/>
              <w:left w:w="80" w:type="dxa"/>
              <w:bottom w:w="45" w:type="dxa"/>
              <w:right w:w="60" w:type="dxa"/>
            </w:tcMar>
          </w:tcPr>
          <w:p>
            <w:pPr>
              <w:pStyle w:val="IGCell"/>
              <w:spacing w:after="0"/>
            </w:pPr>
            <w:r>
              <w:rPr>
                <w:rFonts w:ascii="Arial" w:hAnsi="Arial" w:cs="Arial" w:eastAsia="Arial"/>
                <w:color w:val="192E43"/>
                <w:sz w:val="17"/>
              </w:rPr>
              <w:t>Aligned: shares your position on current matters.</w:t>
            </w:r>
          </w:p>
          <w:p>
            <w:pPr>
              <w:pStyle w:val="IGCell"/>
              <w:spacing w:after="0" w:before="40"/>
            </w:pPr>
            <w:r>
              <w:rPr>
                <w:rFonts w:ascii="Arial" w:hAnsi="Arial" w:cs="Arial" w:eastAsia="Arial"/>
                <w:color w:val="192E43"/>
                <w:sz w:val="17"/>
              </w:rPr>
              <w:t>Mixed: aligned on some matters, divergent on others.</w:t>
            </w:r>
          </w:p>
          <w:p>
            <w:pPr>
              <w:pStyle w:val="IGCell"/>
              <w:spacing w:after="0" w:before="40"/>
            </w:pPr>
            <w:r>
              <w:rPr>
                <w:rFonts w:ascii="Arial" w:hAnsi="Arial" w:cs="Arial" w:eastAsia="Arial"/>
                <w:color w:val="192E43"/>
                <w:sz w:val="17"/>
              </w:rPr>
              <w:t>Divergent: opposes your position on a matter that affects an objective.</w:t>
            </w:r>
          </w:p>
          <w:p>
            <w:pPr>
              <w:pStyle w:val="IGCell"/>
              <w:spacing w:after="0" w:before="40"/>
            </w:pPr>
            <w:r>
              <w:rPr>
                <w:rFonts w:ascii="Arial" w:hAnsi="Arial" w:cs="Arial" w:eastAsia="Arial"/>
                <w:color w:val="192E43"/>
                <w:sz w:val="17"/>
              </w:rPr>
              <w:t>Unknown: not yet assessed. A gap to close, not a neutral setting.</w:t>
            </w:r>
          </w:p>
        </w:tc>
        <w:tc>
          <w:tcPr>
            <w:tcW w:type="dxa" w:w="4824"/>
            <w:tcMar>
              <w:top w:w="45" w:type="dxa"/>
              <w:left w:w="80" w:type="dxa"/>
              <w:bottom w:w="45" w:type="dxa"/>
              <w:right w:w="60" w:type="dxa"/>
            </w:tcMar>
          </w:tcPr>
          <w:p>
            <w:pPr>
              <w:pStyle w:val="IGCell"/>
              <w:spacing w:after="0"/>
            </w:pPr>
            <w:r>
              <w:rPr>
                <w:rFonts w:ascii="Arial" w:hAnsi="Arial" w:cs="Arial" w:eastAsia="Arial"/>
                <w:color w:val="192E43"/>
                <w:sz w:val="17"/>
              </w:rPr>
              <w:t>Strong: open channel, mutual trust, prompt response.</w:t>
            </w:r>
          </w:p>
          <w:p>
            <w:pPr>
              <w:pStyle w:val="IGCell"/>
              <w:spacing w:after="0" w:before="40"/>
            </w:pPr>
            <w:r>
              <w:rPr>
                <w:rFonts w:ascii="Arial" w:hAnsi="Arial" w:cs="Arial" w:eastAsia="Arial"/>
                <w:color w:val="192E43"/>
                <w:sz w:val="17"/>
              </w:rPr>
              <w:t>Working: functional and professional. Responsiveness varies.</w:t>
            </w:r>
          </w:p>
          <w:p>
            <w:pPr>
              <w:pStyle w:val="IGCell"/>
              <w:spacing w:after="0" w:before="40"/>
            </w:pPr>
            <w:r>
              <w:rPr>
                <w:rFonts w:ascii="Arial" w:hAnsi="Arial" w:cs="Arial" w:eastAsia="Arial"/>
                <w:color w:val="192E43"/>
                <w:sz w:val="17"/>
              </w:rPr>
              <w:t>Strained: recent conflict, missed commitments, or poor response.</w:t>
            </w:r>
          </w:p>
          <w:p>
            <w:pPr>
              <w:pStyle w:val="IGCell"/>
              <w:spacing w:after="0" w:before="40"/>
            </w:pPr>
            <w:r>
              <w:rPr>
                <w:rFonts w:ascii="Arial" w:hAnsi="Arial" w:cs="Arial" w:eastAsia="Arial"/>
                <w:color w:val="192E43"/>
                <w:sz w:val="17"/>
              </w:rPr>
              <w:t>New: no track record yet. Dormant: no active relationship.</w:t>
            </w:r>
          </w:p>
        </w:tc>
      </w:tr>
    </w:tbl>
    <w:p>
      <w:pPr>
        <w:spacing w:after="80" w:line="144" w:lineRule="auto"/>
      </w:pPr>
    </w:p>
    <w:p>
      <w:pPr>
        <w:pStyle w:val="Heading2"/>
      </w:pPr>
      <w:r>
        <w:t>6.2 Priority relationships (Tier 1 and Tier 2)</w:t>
      </w:r>
    </w:p>
    <w:p>
      <w:pPr>
        <w:pStyle w:val="IGSmall"/>
        <w:keepNext/>
      </w:pPr>
      <w:r>
        <w:rPr>
          <w:rFonts w:ascii="Arial" w:hAnsi="Arial" w:cs="Arial" w:eastAsia="Arial"/>
        </w:rPr>
        <w:t>Eleven of 16 relationships in the tracker, the Tier 1 and Tier 2 relationships that decide whether an objective succeeds. Tier 3 and 4 are in the tracker.</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792"/>
        <w:gridCol w:w="2232"/>
        <w:gridCol w:w="1224"/>
        <w:gridCol w:w="1007"/>
        <w:gridCol w:w="1152"/>
        <w:gridCol w:w="3240"/>
      </w:tblGrid>
      <w:tr>
        <w:trPr>
          <w:tblHeader w:val="true"/>
          <w:cantSplit w:val="true"/>
        </w:trPr>
        <w:tc>
          <w:tcPr>
            <w:tcW w:type="dxa" w:w="79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ID</w:t>
            </w:r>
          </w:p>
        </w:tc>
        <w:tc>
          <w:tcPr>
            <w:tcW w:type="dxa" w:w="223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Institution and level</w:t>
            </w:r>
          </w:p>
        </w:tc>
        <w:tc>
          <w:tcPr>
            <w:tcW w:type="dxa" w:w="1224"/>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Tier</w:t>
            </w:r>
          </w:p>
        </w:tc>
        <w:tc>
          <w:tcPr>
            <w:tcW w:type="dxa" w:w="1008"/>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Posture</w:t>
            </w:r>
          </w:p>
        </w:tc>
        <w:tc>
          <w:tcPr>
            <w:tcW w:type="dxa" w:w="115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Our lead</w:t>
            </w:r>
          </w:p>
        </w:tc>
        <w:tc>
          <w:tcPr>
            <w:tcW w:type="dxa" w:w="3240"/>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What we need from them (objective)</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REL-01</w:t>
            </w:r>
          </w:p>
        </w:tc>
        <w:tc>
          <w:tcPr>
            <w:tcW w:type="dxa" w:w="2232"/>
            <w:tcMar>
              <w:top w:w="45" w:type="dxa"/>
              <w:left w:w="80" w:type="dxa"/>
              <w:bottom w:w="45" w:type="dxa"/>
              <w:right w:w="60" w:type="dxa"/>
            </w:tcMar>
            <w:vAlign w:val="top"/>
          </w:tcPr>
          <w:p>
            <w:pPr>
              <w:pStyle w:val="IGCell"/>
              <w:spacing w:after="0"/>
            </w:pPr>
            <w:r>
              <w:rPr>
                <w:rFonts w:ascii="Arial" w:hAnsi="Arial" w:cs="Arial" w:eastAsia="Arial"/>
                <w:color w:val="192E43"/>
                <w:sz w:val="17"/>
              </w:rPr>
              <w:t>Office of the County Executive</w:t>
            </w:r>
          </w:p>
          <w:p>
            <w:pPr>
              <w:pStyle w:val="IGCell"/>
              <w:spacing w:after="0" w:before="40"/>
            </w:pPr>
            <w:r>
              <w:rPr>
                <w:rFonts w:ascii="Arial" w:hAnsi="Arial" w:cs="Arial" w:eastAsia="Arial"/>
                <w:color w:val="192E43"/>
                <w:sz w:val="17"/>
              </w:rPr>
              <w:t>County</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Tier 1 Strategic</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7"/>
              </w:rPr>
              <w:t>Aligned</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Elena Marsh</w:t>
            </w:r>
          </w:p>
        </w:tc>
        <w:tc>
          <w:tcPr>
            <w:tcW w:type="dxa" w:w="3240"/>
            <w:tcMar>
              <w:top w:w="45" w:type="dxa"/>
              <w:left w:w="80" w:type="dxa"/>
              <w:bottom w:w="45" w:type="dxa"/>
              <w:right w:w="60" w:type="dxa"/>
            </w:tcMar>
            <w:vAlign w:val="top"/>
          </w:tcPr>
          <w:p>
            <w:pPr>
              <w:pStyle w:val="IGCell"/>
              <w:spacing w:after="0"/>
            </w:pPr>
            <w:r>
              <w:rPr>
                <w:rFonts w:ascii="Arial" w:hAnsi="Arial" w:cs="Arial" w:eastAsia="Arial"/>
                <w:color w:val="192E43"/>
                <w:sz w:val="17"/>
              </w:rPr>
              <w:t>Timely decisions on escalations; signature on outreach to other governments (OBJ-6)</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REL-02</w:t>
            </w:r>
          </w:p>
        </w:tc>
        <w:tc>
          <w:tcPr>
            <w:tcW w:type="dxa" w:w="2232"/>
            <w:tcMar>
              <w:top w:w="45" w:type="dxa"/>
              <w:left w:w="80" w:type="dxa"/>
              <w:bottom w:w="45" w:type="dxa"/>
              <w:right w:w="60" w:type="dxa"/>
            </w:tcMar>
            <w:vAlign w:val="top"/>
          </w:tcPr>
          <w:p>
            <w:pPr>
              <w:pStyle w:val="IGCell"/>
              <w:spacing w:after="0"/>
            </w:pPr>
            <w:r>
              <w:rPr>
                <w:rFonts w:ascii="Arial" w:hAnsi="Arial" w:cs="Arial" w:eastAsia="Arial"/>
                <w:color w:val="192E43"/>
                <w:sz w:val="17"/>
              </w:rPr>
              <w:t>Board of Commissioners</w:t>
            </w:r>
          </w:p>
          <w:p>
            <w:pPr>
              <w:pStyle w:val="IGCell"/>
              <w:spacing w:after="0" w:before="40"/>
            </w:pPr>
            <w:r>
              <w:rPr>
                <w:rFonts w:ascii="Arial" w:hAnsi="Arial" w:cs="Arial" w:eastAsia="Arial"/>
                <w:color w:val="192E43"/>
                <w:sz w:val="17"/>
              </w:rPr>
              <w:t>County</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Tier 1 Strategic</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7"/>
              </w:rPr>
              <w:t>Aligned</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Elena Marsh</w:t>
            </w:r>
          </w:p>
        </w:tc>
        <w:tc>
          <w:tcPr>
            <w:tcW w:type="dxa" w:w="3240"/>
            <w:tcMar>
              <w:top w:w="45" w:type="dxa"/>
              <w:left w:w="80" w:type="dxa"/>
              <w:bottom w:w="45" w:type="dxa"/>
              <w:right w:w="60" w:type="dxa"/>
            </w:tcMar>
            <w:vAlign w:val="top"/>
          </w:tcPr>
          <w:p>
            <w:pPr>
              <w:pStyle w:val="IGCell"/>
              <w:spacing w:after="0"/>
            </w:pPr>
            <w:r>
              <w:rPr>
                <w:rFonts w:ascii="Arial" w:hAnsi="Arial" w:cs="Arial" w:eastAsia="Arial"/>
                <w:color w:val="192E43"/>
                <w:sz w:val="17"/>
              </w:rPr>
              <w:t>Adopted legislative platform; discipline on public statements (OBJ-1)</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REL-03</w:t>
            </w:r>
          </w:p>
        </w:tc>
        <w:tc>
          <w:tcPr>
            <w:tcW w:type="dxa" w:w="2232"/>
            <w:tcMar>
              <w:top w:w="45" w:type="dxa"/>
              <w:left w:w="80" w:type="dxa"/>
              <w:bottom w:w="45" w:type="dxa"/>
              <w:right w:w="60" w:type="dxa"/>
            </w:tcMar>
            <w:vAlign w:val="top"/>
          </w:tcPr>
          <w:p>
            <w:pPr>
              <w:pStyle w:val="IGCell"/>
              <w:spacing w:after="0"/>
            </w:pPr>
            <w:r>
              <w:rPr>
                <w:rFonts w:ascii="Arial" w:hAnsi="Arial" w:cs="Arial" w:eastAsia="Arial"/>
                <w:color w:val="192E43"/>
                <w:sz w:val="17"/>
              </w:rPr>
              <w:t>Senate Transportation Committee</w:t>
            </w:r>
          </w:p>
          <w:p>
            <w:pPr>
              <w:pStyle w:val="IGCell"/>
              <w:spacing w:after="0" w:before="40"/>
            </w:pPr>
            <w:r>
              <w:rPr>
                <w:rFonts w:ascii="Arial" w:hAnsi="Arial" w:cs="Arial" w:eastAsia="Arial"/>
                <w:color w:val="192E43"/>
                <w:sz w:val="17"/>
              </w:rPr>
              <w:t>State</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Tier 1 Strategic</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7"/>
              </w:rPr>
              <w:t>Aligned</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Jordan Pike</w:t>
            </w:r>
          </w:p>
        </w:tc>
        <w:tc>
          <w:tcPr>
            <w:tcW w:type="dxa" w:w="3240"/>
            <w:tcMar>
              <w:top w:w="45" w:type="dxa"/>
              <w:left w:w="80" w:type="dxa"/>
              <w:bottom w:w="45" w:type="dxa"/>
              <w:right w:w="60" w:type="dxa"/>
            </w:tcMar>
            <w:vAlign w:val="top"/>
          </w:tcPr>
          <w:p>
            <w:pPr>
              <w:pStyle w:val="IGCell"/>
              <w:spacing w:after="0"/>
            </w:pPr>
            <w:r>
              <w:rPr>
                <w:rFonts w:ascii="Arial" w:hAnsi="Arial" w:cs="Arial" w:eastAsia="Arial"/>
                <w:color w:val="192E43"/>
                <w:sz w:val="17"/>
              </w:rPr>
              <w:t>Hearing time for SB 214; fair treatment of HB 388 amendments in the Senate (OBJ-1)</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REL-04</w:t>
            </w:r>
          </w:p>
        </w:tc>
        <w:tc>
          <w:tcPr>
            <w:tcW w:type="dxa" w:w="2232"/>
            <w:tcMar>
              <w:top w:w="45" w:type="dxa"/>
              <w:left w:w="80" w:type="dxa"/>
              <w:bottom w:w="45" w:type="dxa"/>
              <w:right w:w="60" w:type="dxa"/>
            </w:tcMar>
            <w:vAlign w:val="top"/>
          </w:tcPr>
          <w:p>
            <w:pPr>
              <w:pStyle w:val="IGCell"/>
              <w:spacing w:after="0"/>
            </w:pPr>
            <w:r>
              <w:rPr>
                <w:rFonts w:ascii="Arial" w:hAnsi="Arial" w:cs="Arial" w:eastAsia="Arial"/>
                <w:color w:val="192E43"/>
                <w:sz w:val="17"/>
              </w:rPr>
              <w:t>House Local Government and Transportation Committee</w:t>
            </w:r>
          </w:p>
          <w:p>
            <w:pPr>
              <w:pStyle w:val="IGCell"/>
              <w:spacing w:after="0" w:before="40"/>
            </w:pPr>
            <w:r>
              <w:rPr>
                <w:rFonts w:ascii="Arial" w:hAnsi="Arial" w:cs="Arial" w:eastAsia="Arial"/>
                <w:color w:val="192E43"/>
                <w:sz w:val="17"/>
              </w:rPr>
              <w:t>State</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Tier 2 Priority</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7"/>
              </w:rPr>
              <w:t>Mixed</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Jordan Pike</w:t>
            </w:r>
          </w:p>
        </w:tc>
        <w:tc>
          <w:tcPr>
            <w:tcW w:type="dxa" w:w="3240"/>
            <w:tcMar>
              <w:top w:w="45" w:type="dxa"/>
              <w:left w:w="80" w:type="dxa"/>
              <w:bottom w:w="45" w:type="dxa"/>
              <w:right w:w="60" w:type="dxa"/>
            </w:tcMar>
            <w:vAlign w:val="top"/>
          </w:tcPr>
          <w:p>
            <w:pPr>
              <w:pStyle w:val="IGCell"/>
              <w:spacing w:after="0"/>
            </w:pPr>
            <w:r>
              <w:rPr>
                <w:rFonts w:ascii="Arial" w:hAnsi="Arial" w:cs="Arial" w:eastAsia="Arial"/>
                <w:color w:val="192E43"/>
                <w:sz w:val="17"/>
              </w:rPr>
              <w:t>Hearing and vote on SB 214 on Apr 14 (OBJ-1)</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REL-05</w:t>
            </w:r>
          </w:p>
        </w:tc>
        <w:tc>
          <w:tcPr>
            <w:tcW w:type="dxa" w:w="2232"/>
            <w:tcMar>
              <w:top w:w="45" w:type="dxa"/>
              <w:left w:w="80" w:type="dxa"/>
              <w:bottom w:w="45" w:type="dxa"/>
              <w:right w:w="60" w:type="dxa"/>
            </w:tcMar>
            <w:vAlign w:val="top"/>
          </w:tcPr>
          <w:p>
            <w:pPr>
              <w:pStyle w:val="IGCell"/>
              <w:spacing w:after="0"/>
            </w:pPr>
            <w:r>
              <w:rPr>
                <w:rFonts w:ascii="Arial" w:hAnsi="Arial" w:cs="Arial" w:eastAsia="Arial"/>
                <w:color w:val="192E43"/>
                <w:sz w:val="17"/>
              </w:rPr>
              <w:t>Marlow Department of Transportation (State DOT)</w:t>
            </w:r>
          </w:p>
          <w:p>
            <w:pPr>
              <w:pStyle w:val="IGCell"/>
              <w:spacing w:after="0" w:before="40"/>
            </w:pPr>
            <w:r>
              <w:rPr>
                <w:rFonts w:ascii="Arial" w:hAnsi="Arial" w:cs="Arial" w:eastAsia="Arial"/>
                <w:color w:val="192E43"/>
                <w:sz w:val="17"/>
              </w:rPr>
              <w:t>State</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Tier 1 Strategic</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7"/>
              </w:rPr>
              <w:t>Aligned</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Samuel Ortega</w:t>
            </w:r>
          </w:p>
        </w:tc>
        <w:tc>
          <w:tcPr>
            <w:tcW w:type="dxa" w:w="3240"/>
            <w:tcMar>
              <w:top w:w="45" w:type="dxa"/>
              <w:left w:w="80" w:type="dxa"/>
              <w:bottom w:w="45" w:type="dxa"/>
              <w:right w:w="60" w:type="dxa"/>
            </w:tcMar>
            <w:vAlign w:val="top"/>
          </w:tcPr>
          <w:p>
            <w:pPr>
              <w:pStyle w:val="IGCell"/>
              <w:spacing w:after="0"/>
            </w:pPr>
            <w:r>
              <w:rPr>
                <w:rFonts w:ascii="Arial" w:hAnsi="Arial" w:cs="Arial" w:eastAsia="Arial"/>
                <w:color w:val="192E43"/>
                <w:sz w:val="17"/>
              </w:rPr>
              <w:t>Written match commitment before the federal application is finalized (OBJ-3)</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REL-06</w:t>
            </w:r>
          </w:p>
        </w:tc>
        <w:tc>
          <w:tcPr>
            <w:tcW w:type="dxa" w:w="2232"/>
            <w:tcMar>
              <w:top w:w="45" w:type="dxa"/>
              <w:left w:w="80" w:type="dxa"/>
              <w:bottom w:w="45" w:type="dxa"/>
              <w:right w:w="60" w:type="dxa"/>
            </w:tcMar>
            <w:vAlign w:val="top"/>
          </w:tcPr>
          <w:p>
            <w:pPr>
              <w:pStyle w:val="IGCell"/>
              <w:spacing w:after="0"/>
            </w:pPr>
            <w:r>
              <w:rPr>
                <w:rFonts w:ascii="Arial" w:hAnsi="Arial" w:cs="Arial" w:eastAsia="Arial"/>
                <w:color w:val="192E43"/>
                <w:sz w:val="17"/>
              </w:rPr>
              <w:t>Riverton City</w:t>
            </w:r>
          </w:p>
          <w:p>
            <w:pPr>
              <w:pStyle w:val="IGCell"/>
              <w:spacing w:after="0" w:before="40"/>
            </w:pPr>
            <w:r>
              <w:rPr>
                <w:rFonts w:ascii="Arial" w:hAnsi="Arial" w:cs="Arial" w:eastAsia="Arial"/>
                <w:color w:val="192E43"/>
                <w:sz w:val="17"/>
              </w:rPr>
              <w:t>Municipal</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Tier 1 Strategic</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7"/>
              </w:rPr>
              <w:t>Mixed</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Alicia Brandt</w:t>
            </w:r>
          </w:p>
        </w:tc>
        <w:tc>
          <w:tcPr>
            <w:tcW w:type="dxa" w:w="3240"/>
            <w:tcMar>
              <w:top w:w="45" w:type="dxa"/>
              <w:left w:w="80" w:type="dxa"/>
              <w:bottom w:w="45" w:type="dxa"/>
              <w:right w:w="60" w:type="dxa"/>
            </w:tcMar>
            <w:vAlign w:val="top"/>
          </w:tcPr>
          <w:p>
            <w:pPr>
              <w:pStyle w:val="IGCell"/>
              <w:spacing w:after="0"/>
            </w:pPr>
            <w:r>
              <w:rPr>
                <w:rFonts w:ascii="Arial" w:hAnsi="Arial" w:cs="Arial" w:eastAsia="Arial"/>
                <w:color w:val="192E43"/>
                <w:sz w:val="17"/>
              </w:rPr>
              <w:t>Agreement on cost allocation; matching commitment from the City Council (OBJ-4)</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REL-07</w:t>
            </w:r>
          </w:p>
        </w:tc>
        <w:tc>
          <w:tcPr>
            <w:tcW w:type="dxa" w:w="2232"/>
            <w:tcMar>
              <w:top w:w="45" w:type="dxa"/>
              <w:left w:w="80" w:type="dxa"/>
              <w:bottom w:w="45" w:type="dxa"/>
              <w:right w:w="60" w:type="dxa"/>
            </w:tcMar>
            <w:vAlign w:val="top"/>
          </w:tcPr>
          <w:p>
            <w:pPr>
              <w:pStyle w:val="IGCell"/>
              <w:spacing w:after="0"/>
            </w:pPr>
            <w:r>
              <w:rPr>
                <w:rFonts w:ascii="Arial" w:hAnsi="Arial" w:cs="Arial" w:eastAsia="Arial"/>
                <w:color w:val="192E43"/>
                <w:sz w:val="17"/>
              </w:rPr>
              <w:t>River Valley Transit Authority</w:t>
            </w:r>
          </w:p>
          <w:p>
            <w:pPr>
              <w:pStyle w:val="IGCell"/>
              <w:spacing w:after="0" w:before="40"/>
            </w:pPr>
            <w:r>
              <w:rPr>
                <w:rFonts w:ascii="Arial" w:hAnsi="Arial" w:cs="Arial" w:eastAsia="Arial"/>
                <w:color w:val="192E43"/>
                <w:sz w:val="17"/>
              </w:rPr>
              <w:t>Regional</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Tier 2 Priority</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7"/>
              </w:rPr>
              <w:t>Aligned</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Alicia Brandt</w:t>
            </w:r>
          </w:p>
        </w:tc>
        <w:tc>
          <w:tcPr>
            <w:tcW w:type="dxa" w:w="3240"/>
            <w:tcMar>
              <w:top w:w="45" w:type="dxa"/>
              <w:left w:w="80" w:type="dxa"/>
              <w:bottom w:w="45" w:type="dxa"/>
              <w:right w:w="60" w:type="dxa"/>
            </w:tcMar>
            <w:vAlign w:val="top"/>
          </w:tcPr>
          <w:p>
            <w:pPr>
              <w:pStyle w:val="IGCell"/>
              <w:spacing w:after="0"/>
            </w:pPr>
            <w:r>
              <w:rPr>
                <w:rFonts w:ascii="Arial" w:hAnsi="Arial" w:cs="Arial" w:eastAsia="Arial"/>
                <w:color w:val="192E43"/>
                <w:sz w:val="17"/>
              </w:rPr>
              <w:t>Support for the County on cost allocation; governing board approval of the agreement (OBJ-4)</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REL-08</w:t>
            </w:r>
          </w:p>
        </w:tc>
        <w:tc>
          <w:tcPr>
            <w:tcW w:type="dxa" w:w="2232"/>
            <w:tcMar>
              <w:top w:w="45" w:type="dxa"/>
              <w:left w:w="80" w:type="dxa"/>
              <w:bottom w:w="45" w:type="dxa"/>
              <w:right w:w="60" w:type="dxa"/>
            </w:tcMar>
            <w:vAlign w:val="top"/>
          </w:tcPr>
          <w:p>
            <w:pPr>
              <w:pStyle w:val="IGCell"/>
              <w:spacing w:after="0"/>
            </w:pPr>
            <w:r>
              <w:rPr>
                <w:rFonts w:ascii="Arial" w:hAnsi="Arial" w:cs="Arial" w:eastAsia="Arial"/>
                <w:color w:val="192E43"/>
                <w:sz w:val="17"/>
              </w:rPr>
              <w:t>Three Fords Tribal Nation</w:t>
            </w:r>
          </w:p>
          <w:p>
            <w:pPr>
              <w:pStyle w:val="IGCell"/>
              <w:spacing w:after="0" w:before="40"/>
            </w:pPr>
            <w:r>
              <w:rPr>
                <w:rFonts w:ascii="Arial" w:hAnsi="Arial" w:cs="Arial" w:eastAsia="Arial"/>
                <w:color w:val="192E43"/>
                <w:sz w:val="17"/>
              </w:rPr>
              <w:t>Tribal</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Tier 1 Strategic</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7"/>
              </w:rPr>
              <w:t>Unknown</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Elena Marsh</w:t>
            </w:r>
          </w:p>
        </w:tc>
        <w:tc>
          <w:tcPr>
            <w:tcW w:type="dxa" w:w="3240"/>
            <w:tcMar>
              <w:top w:w="45" w:type="dxa"/>
              <w:left w:w="80" w:type="dxa"/>
              <w:bottom w:w="45" w:type="dxa"/>
              <w:right w:w="60" w:type="dxa"/>
            </w:tcMar>
            <w:vAlign w:val="top"/>
          </w:tcPr>
          <w:p>
            <w:pPr>
              <w:pStyle w:val="IGCell"/>
              <w:spacing w:after="0"/>
            </w:pPr>
            <w:r>
              <w:rPr>
                <w:rFonts w:ascii="Arial" w:hAnsi="Arial" w:cs="Arial" w:eastAsia="Arial"/>
                <w:color w:val="192E43"/>
                <w:sz w:val="17"/>
              </w:rPr>
              <w:t>A working channel and documented concerns about the east-bank corridor before the application is finalized (OBJ-5)</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REL-09</w:t>
            </w:r>
          </w:p>
        </w:tc>
        <w:tc>
          <w:tcPr>
            <w:tcW w:type="dxa" w:w="2232"/>
            <w:tcMar>
              <w:top w:w="45" w:type="dxa"/>
              <w:left w:w="80" w:type="dxa"/>
              <w:bottom w:w="45" w:type="dxa"/>
              <w:right w:w="60" w:type="dxa"/>
            </w:tcMar>
            <w:vAlign w:val="top"/>
          </w:tcPr>
          <w:p>
            <w:pPr>
              <w:pStyle w:val="IGCell"/>
              <w:spacing w:after="0"/>
            </w:pPr>
            <w:r>
              <w:rPr>
                <w:rFonts w:ascii="Arial" w:hAnsi="Arial" w:cs="Arial" w:eastAsia="Arial"/>
                <w:color w:val="192E43"/>
                <w:sz w:val="17"/>
              </w:rPr>
              <w:t>Federal regional office, funding agency</w:t>
            </w:r>
          </w:p>
          <w:p>
            <w:pPr>
              <w:pStyle w:val="IGCell"/>
              <w:spacing w:after="0" w:before="40"/>
            </w:pPr>
            <w:r>
              <w:rPr>
                <w:rFonts w:ascii="Arial" w:hAnsi="Arial" w:cs="Arial" w:eastAsia="Arial"/>
                <w:color w:val="192E43"/>
                <w:sz w:val="17"/>
              </w:rPr>
              <w:t>Federal</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Tier 2 Priority</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7"/>
              </w:rPr>
              <w:t>Unknown</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Samuel Ortega</w:t>
            </w:r>
          </w:p>
        </w:tc>
        <w:tc>
          <w:tcPr>
            <w:tcW w:type="dxa" w:w="3240"/>
            <w:tcMar>
              <w:top w:w="45" w:type="dxa"/>
              <w:left w:w="80" w:type="dxa"/>
              <w:bottom w:w="45" w:type="dxa"/>
              <w:right w:w="60" w:type="dxa"/>
            </w:tcMar>
            <w:vAlign w:val="top"/>
          </w:tcPr>
          <w:p>
            <w:pPr>
              <w:pStyle w:val="IGCell"/>
              <w:spacing w:after="0"/>
            </w:pPr>
            <w:r>
              <w:rPr>
                <w:rFonts w:ascii="Arial" w:hAnsi="Arial" w:cs="Arial" w:eastAsia="Arial"/>
                <w:color w:val="192E43"/>
                <w:sz w:val="17"/>
              </w:rPr>
              <w:t>Early signal on notice timing and match eligibility (OBJ-3)</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REL-10</w:t>
            </w:r>
          </w:p>
        </w:tc>
        <w:tc>
          <w:tcPr>
            <w:tcW w:type="dxa" w:w="2232"/>
            <w:tcMar>
              <w:top w:w="45" w:type="dxa"/>
              <w:left w:w="80" w:type="dxa"/>
              <w:bottom w:w="45" w:type="dxa"/>
              <w:right w:w="60" w:type="dxa"/>
            </w:tcMar>
            <w:vAlign w:val="top"/>
          </w:tcPr>
          <w:p>
            <w:pPr>
              <w:pStyle w:val="IGCell"/>
              <w:spacing w:after="0"/>
            </w:pPr>
            <w:r>
              <w:rPr>
                <w:rFonts w:ascii="Arial" w:hAnsi="Arial" w:cs="Arial" w:eastAsia="Arial"/>
                <w:color w:val="192E43"/>
                <w:sz w:val="17"/>
              </w:rPr>
              <w:t>Congressional delegation, district offices</w:t>
            </w:r>
          </w:p>
          <w:p>
            <w:pPr>
              <w:pStyle w:val="IGCell"/>
              <w:spacing w:after="0" w:before="40"/>
            </w:pPr>
            <w:r>
              <w:rPr>
                <w:rFonts w:ascii="Arial" w:hAnsi="Arial" w:cs="Arial" w:eastAsia="Arial"/>
                <w:color w:val="192E43"/>
                <w:sz w:val="17"/>
              </w:rPr>
              <w:t>Federal</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Tier 2 Priority</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7"/>
              </w:rPr>
              <w:t>Aligned</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Samuel Ortega</w:t>
            </w:r>
          </w:p>
        </w:tc>
        <w:tc>
          <w:tcPr>
            <w:tcW w:type="dxa" w:w="3240"/>
            <w:tcMar>
              <w:top w:w="45" w:type="dxa"/>
              <w:left w:w="80" w:type="dxa"/>
              <w:bottom w:w="45" w:type="dxa"/>
              <w:right w:w="60" w:type="dxa"/>
            </w:tcMar>
            <w:vAlign w:val="top"/>
          </w:tcPr>
          <w:p>
            <w:pPr>
              <w:pStyle w:val="IGCell"/>
              <w:spacing w:after="0"/>
            </w:pPr>
            <w:r>
              <w:rPr>
                <w:rFonts w:ascii="Arial" w:hAnsi="Arial" w:cs="Arial" w:eastAsia="Arial"/>
                <w:color w:val="192E43"/>
                <w:sz w:val="17"/>
              </w:rPr>
              <w:t>Letters of support; help with agency contact if the notice is delayed (OBJ-3)</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REL-11</w:t>
            </w:r>
          </w:p>
        </w:tc>
        <w:tc>
          <w:tcPr>
            <w:tcW w:type="dxa" w:w="2232"/>
            <w:tcMar>
              <w:top w:w="45" w:type="dxa"/>
              <w:left w:w="80" w:type="dxa"/>
              <w:bottom w:w="45" w:type="dxa"/>
              <w:right w:w="60" w:type="dxa"/>
            </w:tcMar>
            <w:vAlign w:val="top"/>
          </w:tcPr>
          <w:p>
            <w:pPr>
              <w:pStyle w:val="IGCell"/>
              <w:spacing w:after="0"/>
            </w:pPr>
            <w:r>
              <w:rPr>
                <w:rFonts w:ascii="Arial" w:hAnsi="Arial" w:cs="Arial" w:eastAsia="Arial"/>
                <w:color w:val="192E43"/>
                <w:sz w:val="17"/>
              </w:rPr>
              <w:t>Harlan County</w:t>
            </w:r>
          </w:p>
          <w:p>
            <w:pPr>
              <w:pStyle w:val="IGCell"/>
              <w:spacing w:after="0" w:before="40"/>
            </w:pPr>
            <w:r>
              <w:rPr>
                <w:rFonts w:ascii="Arial" w:hAnsi="Arial" w:cs="Arial" w:eastAsia="Arial"/>
                <w:color w:val="192E43"/>
                <w:sz w:val="17"/>
              </w:rPr>
              <w:t>County</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Tier 2 Priority</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7"/>
              </w:rPr>
              <w:t>Mixed</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Alicia Brandt</w:t>
            </w:r>
          </w:p>
        </w:tc>
        <w:tc>
          <w:tcPr>
            <w:tcW w:type="dxa" w:w="3240"/>
            <w:tcMar>
              <w:top w:w="45" w:type="dxa"/>
              <w:left w:w="80" w:type="dxa"/>
              <w:bottom w:w="45" w:type="dxa"/>
              <w:right w:w="60" w:type="dxa"/>
            </w:tcMar>
            <w:vAlign w:val="top"/>
          </w:tcPr>
          <w:p>
            <w:pPr>
              <w:pStyle w:val="IGCell"/>
              <w:spacing w:after="0"/>
            </w:pPr>
            <w:r>
              <w:rPr>
                <w:rFonts w:ascii="Arial" w:hAnsi="Arial" w:cs="Arial" w:eastAsia="Arial"/>
                <w:color w:val="192E43"/>
                <w:sz w:val="17"/>
              </w:rPr>
              <w:t>Coordination so the delegation is not asked to choose between neighboring counties (OBJ-3)</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REL-12</w:t>
            </w:r>
          </w:p>
        </w:tc>
        <w:tc>
          <w:tcPr>
            <w:tcW w:type="dxa" w:w="2232"/>
            <w:tcMar>
              <w:top w:w="45" w:type="dxa"/>
              <w:left w:w="80" w:type="dxa"/>
              <w:bottom w:w="45" w:type="dxa"/>
              <w:right w:w="60" w:type="dxa"/>
            </w:tcMar>
            <w:vAlign w:val="top"/>
          </w:tcPr>
          <w:p>
            <w:pPr>
              <w:pStyle w:val="IGCell"/>
              <w:spacing w:after="0"/>
            </w:pPr>
            <w:r>
              <w:rPr>
                <w:rFonts w:ascii="Arial" w:hAnsi="Arial" w:cs="Arial" w:eastAsia="Arial"/>
                <w:color w:val="192E43"/>
                <w:sz w:val="17"/>
              </w:rPr>
              <w:t>Marlow Association of Counties</w:t>
            </w:r>
          </w:p>
          <w:p>
            <w:pPr>
              <w:pStyle w:val="IGCell"/>
              <w:spacing w:after="0" w:before="40"/>
            </w:pPr>
            <w:r>
              <w:rPr>
                <w:rFonts w:ascii="Arial" w:hAnsi="Arial" w:cs="Arial" w:eastAsia="Arial"/>
                <w:color w:val="192E43"/>
                <w:sz w:val="17"/>
              </w:rPr>
              <w:t>State</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Tier 2 Priority</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7"/>
              </w:rPr>
              <w:t>Aligned</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Jordan Pike</w:t>
            </w:r>
          </w:p>
        </w:tc>
        <w:tc>
          <w:tcPr>
            <w:tcW w:type="dxa" w:w="3240"/>
            <w:tcMar>
              <w:top w:w="45" w:type="dxa"/>
              <w:left w:w="80" w:type="dxa"/>
              <w:bottom w:w="45" w:type="dxa"/>
              <w:right w:w="60" w:type="dxa"/>
            </w:tcMar>
            <w:vAlign w:val="top"/>
          </w:tcPr>
          <w:p>
            <w:pPr>
              <w:pStyle w:val="IGCell"/>
              <w:spacing w:after="0"/>
            </w:pPr>
            <w:r>
              <w:rPr>
                <w:rFonts w:ascii="Arial" w:hAnsi="Arial" w:cs="Arial" w:eastAsia="Arial"/>
                <w:color w:val="192E43"/>
                <w:sz w:val="17"/>
              </w:rPr>
              <w:t>Statewide coalition support for the HB 388 amendment and SB 214 (OBJ-2)</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REL-13</w:t>
            </w:r>
          </w:p>
        </w:tc>
        <w:tc>
          <w:tcPr>
            <w:tcW w:type="dxa" w:w="2232"/>
            <w:tcMar>
              <w:top w:w="45" w:type="dxa"/>
              <w:left w:w="80" w:type="dxa"/>
              <w:bottom w:w="45" w:type="dxa"/>
              <w:right w:w="60" w:type="dxa"/>
            </w:tcMar>
            <w:vAlign w:val="top"/>
          </w:tcPr>
          <w:p>
            <w:pPr>
              <w:pStyle w:val="IGCell"/>
              <w:spacing w:after="0"/>
            </w:pPr>
            <w:r>
              <w:rPr>
                <w:rFonts w:ascii="Arial" w:hAnsi="Arial" w:cs="Arial" w:eastAsia="Arial"/>
                <w:color w:val="192E43"/>
                <w:sz w:val="17"/>
              </w:rPr>
              <w:t>Governor's Office, policy staff</w:t>
            </w:r>
          </w:p>
          <w:p>
            <w:pPr>
              <w:pStyle w:val="IGCell"/>
              <w:spacing w:after="0" w:before="40"/>
            </w:pPr>
            <w:r>
              <w:rPr>
                <w:rFonts w:ascii="Arial" w:hAnsi="Arial" w:cs="Arial" w:eastAsia="Arial"/>
                <w:color w:val="192E43"/>
                <w:sz w:val="17"/>
              </w:rPr>
              <w:t>State</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7"/>
              </w:rPr>
              <w:t>Tier 2 Priority</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7"/>
              </w:rPr>
              <w:t>Unknown</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Elena Marsh</w:t>
            </w:r>
          </w:p>
        </w:tc>
        <w:tc>
          <w:tcPr>
            <w:tcW w:type="dxa" w:w="3240"/>
            <w:tcMar>
              <w:top w:w="45" w:type="dxa"/>
              <w:left w:w="80" w:type="dxa"/>
              <w:bottom w:w="45" w:type="dxa"/>
              <w:right w:w="60" w:type="dxa"/>
            </w:tcMar>
            <w:vAlign w:val="top"/>
          </w:tcPr>
          <w:p>
            <w:pPr>
              <w:pStyle w:val="IGCell"/>
              <w:spacing w:after="0"/>
            </w:pPr>
            <w:r>
              <w:rPr>
                <w:rFonts w:ascii="Arial" w:hAnsi="Arial" w:cs="Arial" w:eastAsia="Arial"/>
                <w:color w:val="192E43"/>
                <w:sz w:val="17"/>
              </w:rPr>
              <w:t>A signal on signature before the bill reaches the governor (OBJ-1)</w:t>
            </w:r>
          </w:p>
        </w:tc>
      </w:tr>
    </w:tbl>
    <w:p>
      <w:pPr>
        <w:spacing w:after="80" w:line="144" w:lineRule="auto"/>
      </w:pPr>
    </w:p>
    <w:p>
      <w:pPr>
        <w:pStyle w:val="IGSmall"/>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Practitioner note.  </w:t>
      </w:r>
      <w:r>
        <w:rPr>
          <w:rFonts w:ascii="Arial" w:hAnsi="Arial" w:cs="Arial" w:eastAsia="Arial"/>
          <w:color w:val="52606D"/>
          <w:sz w:val="17"/>
        </w:rPr>
        <w:t>Posture is Unknown for the Tribal Nation, the federal regional office, and the Governor's staff. The plan treats Unknown as a gap to close, not as neutral, and it does not invent a counterpart: the tracker records some contacts by title with names to be confirmed.</w:t>
      </w:r>
    </w:p>
    <w:p>
      <w:pPr>
        <w:pStyle w:val="Heading1"/>
      </w:pPr>
      <w:r>
        <w:t>7. Legislative and Administrative Priorities</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Lists the bills, budget actions, rules, grants, approvals, and agreements where a decision-maker will act this year, with the cleared position and the next date that matters. Leads, stages, and notes are kept in the tracker.</w:t>
      </w:r>
    </w:p>
    <w:p>
      <w:pPr>
        <w:pStyle w:val="Heading2"/>
      </w:pPr>
      <w:r>
        <w:t>7.1 Legislative priorities</w:t>
      </w:r>
    </w:p>
    <w:tbl>
      <w:tblPr>
        <w:tblW w:w="9691"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979"/>
        <w:gridCol w:w="2160"/>
        <w:gridCol w:w="1080"/>
        <w:gridCol w:w="1152"/>
        <w:gridCol w:w="1368"/>
        <w:gridCol w:w="2951"/>
      </w:tblGrid>
      <w:tr>
        <w:trPr>
          <w:tblHeader w:val="true"/>
          <w:cantSplit w:val="true"/>
        </w:trPr>
        <w:tc>
          <w:tcPr>
            <w:tcW w:type="dxa" w:w="979"/>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ID</w:t>
            </w:r>
          </w:p>
        </w:tc>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Measure and body</w:t>
            </w:r>
          </w:p>
        </w:tc>
        <w:tc>
          <w:tcPr>
            <w:tcW w:type="dxa" w:w="108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Position</w:t>
            </w:r>
          </w:p>
        </w:tc>
        <w:tc>
          <w:tcPr>
            <w:tcW w:type="dxa" w:w="115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Clearance</w:t>
            </w:r>
          </w:p>
        </w:tc>
        <w:tc>
          <w:tcPr>
            <w:tcW w:type="dxa" w:w="136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Next key date</w:t>
            </w:r>
          </w:p>
        </w:tc>
        <w:tc>
          <w:tcPr>
            <w:tcW w:type="dxa" w:w="295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Desired outcome and conditions</w:t>
            </w:r>
          </w:p>
        </w:tc>
      </w:tr>
      <w:tr>
        <w:trPr>
          <w:cantSplit w:val="true"/>
        </w:trPr>
        <w:tc>
          <w:tcPr>
            <w:tcW w:type="dxa" w:w="979"/>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LEG-01</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SB 214, Local Transportation Sales Tax Authorization</w:t>
            </w:r>
          </w:p>
          <w:p>
            <w:pPr>
              <w:pStyle w:val="IGCell"/>
              <w:keepNext/>
              <w:spacing w:after="0" w:before="40"/>
            </w:pPr>
            <w:r>
              <w:rPr>
                <w:rFonts w:ascii="Arial" w:hAnsi="Arial" w:cs="Arial" w:eastAsia="Arial"/>
                <w:color w:val="192E43"/>
                <w:sz w:val="17"/>
              </w:rPr>
              <w:t>Marlow General Assembly</w:t>
            </w:r>
          </w:p>
        </w:tc>
        <w:tc>
          <w:tcPr>
            <w:tcW w:type="dxa" w:w="1080"/>
            <w:tcMar>
              <w:top w:w="45" w:type="dxa"/>
              <w:left w:w="80" w:type="dxa"/>
              <w:bottom w:w="45" w:type="dxa"/>
              <w:right w:w="60" w:type="dxa"/>
            </w:tcMar>
            <w:vAlign w:val="top"/>
          </w:tcPr>
          <w:p>
            <w:pPr>
              <w:pStyle w:val="IGCell"/>
              <w:keepNext/>
              <w:spacing w:after="0"/>
            </w:pPr>
            <w:r>
              <w:rPr>
                <w:rFonts w:ascii="Arial" w:hAnsi="Arial" w:cs="Arial" w:eastAsia="Arial"/>
                <w:color w:val="192E43"/>
                <w:sz w:val="17"/>
              </w:rPr>
              <w:t>Support</w:t>
            </w:r>
          </w:p>
        </w:tc>
        <w:tc>
          <w:tcPr>
            <w:tcW w:type="dxa" w:w="11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Cleared</w:t>
            </w:r>
          </w:p>
        </w:tc>
        <w:tc>
          <w:tcPr>
            <w:tcW w:type="dxa" w:w="1368"/>
            <w:tcMar>
              <w:top w:w="45" w:type="dxa"/>
              <w:left w:w="80" w:type="dxa"/>
              <w:bottom w:w="45" w:type="dxa"/>
              <w:right w:w="60" w:type="dxa"/>
            </w:tcMar>
            <w:vAlign w:val="top"/>
          </w:tcPr>
          <w:p>
            <w:pPr>
              <w:pStyle w:val="IGCell"/>
              <w:keepNext/>
              <w:spacing w:after="0"/>
            </w:pPr>
            <w:r>
              <w:rPr>
                <w:rFonts w:ascii="Arial" w:hAnsi="Arial" w:cs="Arial" w:eastAsia="Arial"/>
                <w:color w:val="192E43"/>
                <w:sz w:val="17"/>
              </w:rPr>
              <w:t>Apr 14, 2027</w:t>
            </w:r>
          </w:p>
          <w:p>
            <w:pPr>
              <w:pStyle w:val="IGCell"/>
              <w:keepNext/>
              <w:spacing w:after="0" w:before="40"/>
            </w:pPr>
            <w:r>
              <w:rPr>
                <w:rFonts w:ascii="Arial" w:hAnsi="Arial" w:cs="Arial" w:eastAsia="Arial"/>
                <w:color w:val="192E43"/>
                <w:sz w:val="17"/>
              </w:rPr>
              <w:t>House committee vote</w:t>
            </w:r>
          </w:p>
        </w:tc>
        <w:tc>
          <w:tcPr>
            <w:tcW w:type="dxa" w:w="29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Enactment with a rate ceiling of at least 0.5 percent and bridge capital eligible</w:t>
            </w:r>
          </w:p>
          <w:p>
            <w:pPr>
              <w:pStyle w:val="IGCell"/>
              <w:keepNext/>
              <w:spacing w:after="0" w:before="40"/>
            </w:pPr>
            <w:r>
              <w:rPr>
                <w:rFonts w:ascii="Arial" w:hAnsi="Arial" w:cs="Arial" w:eastAsia="Arial"/>
                <w:color w:val="192E43"/>
                <w:sz w:val="17"/>
              </w:rPr>
              <w:t>Conditions: Passed the Senate Mar 10. Riverton wants a distribution share; the County opposes a mandatory share.</w:t>
            </w:r>
          </w:p>
        </w:tc>
      </w:tr>
      <w:tr>
        <w:trPr>
          <w:cantSplit w:val="true"/>
        </w:trPr>
        <w:tc>
          <w:tcPr>
            <w:tcW w:type="dxa" w:w="979"/>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LEG-02</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HB 388, Local Permitting and Stormwater Uniformity</w:t>
            </w:r>
          </w:p>
          <w:p>
            <w:pPr>
              <w:pStyle w:val="IGCell"/>
              <w:keepNext/>
              <w:spacing w:after="0" w:before="40"/>
            </w:pPr>
            <w:r>
              <w:rPr>
                <w:rFonts w:ascii="Arial" w:hAnsi="Arial" w:cs="Arial" w:eastAsia="Arial"/>
                <w:color w:val="192E43"/>
                <w:sz w:val="17"/>
              </w:rPr>
              <w:t>Marlow General Assembly</w:t>
            </w:r>
          </w:p>
        </w:tc>
        <w:tc>
          <w:tcPr>
            <w:tcW w:type="dxa" w:w="1080"/>
            <w:tcMar>
              <w:top w:w="45" w:type="dxa"/>
              <w:left w:w="80" w:type="dxa"/>
              <w:bottom w:w="45" w:type="dxa"/>
              <w:right w:w="60" w:type="dxa"/>
            </w:tcMar>
            <w:vAlign w:val="top"/>
          </w:tcPr>
          <w:p>
            <w:pPr>
              <w:pStyle w:val="IGCell"/>
              <w:keepNext/>
              <w:spacing w:after="0"/>
            </w:pPr>
            <w:r>
              <w:rPr>
                <w:rFonts w:ascii="Arial" w:hAnsi="Arial" w:cs="Arial" w:eastAsia="Arial"/>
                <w:color w:val="192E43"/>
                <w:sz w:val="17"/>
              </w:rPr>
              <w:t>Amend</w:t>
            </w:r>
          </w:p>
        </w:tc>
        <w:tc>
          <w:tcPr>
            <w:tcW w:type="dxa" w:w="11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Cleared</w:t>
            </w:r>
          </w:p>
        </w:tc>
        <w:tc>
          <w:tcPr>
            <w:tcW w:type="dxa" w:w="1368"/>
            <w:tcMar>
              <w:top w:w="45" w:type="dxa"/>
              <w:left w:w="80" w:type="dxa"/>
              <w:bottom w:w="45" w:type="dxa"/>
              <w:right w:w="60" w:type="dxa"/>
            </w:tcMar>
            <w:vAlign w:val="top"/>
          </w:tcPr>
          <w:p>
            <w:pPr>
              <w:pStyle w:val="IGCell"/>
              <w:keepNext/>
              <w:spacing w:after="0"/>
            </w:pPr>
            <w:r>
              <w:rPr>
                <w:rFonts w:ascii="Arial" w:hAnsi="Arial" w:cs="Arial" w:eastAsia="Arial"/>
                <w:color w:val="192E43"/>
                <w:sz w:val="17"/>
              </w:rPr>
              <w:t>Apr 16, 2027</w:t>
            </w:r>
          </w:p>
          <w:p>
            <w:pPr>
              <w:pStyle w:val="IGCell"/>
              <w:keepNext/>
              <w:spacing w:after="0" w:before="40"/>
            </w:pPr>
            <w:r>
              <w:rPr>
                <w:rFonts w:ascii="Arial" w:hAnsi="Arial" w:cs="Arial" w:eastAsia="Arial"/>
                <w:color w:val="192E43"/>
                <w:sz w:val="17"/>
              </w:rPr>
              <w:t>Senate committee action</w:t>
            </w:r>
          </w:p>
        </w:tc>
        <w:tc>
          <w:tcPr>
            <w:tcW w:type="dxa" w:w="29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Opt-out language for stricter local standards retained</w:t>
            </w:r>
          </w:p>
          <w:p>
            <w:pPr>
              <w:pStyle w:val="IGCell"/>
              <w:keepNext/>
              <w:spacing w:after="0" w:before="40"/>
            </w:pPr>
            <w:r>
              <w:rPr>
                <w:rFonts w:ascii="Arial" w:hAnsi="Arial" w:cs="Arial" w:eastAsia="Arial"/>
                <w:color w:val="192E43"/>
                <w:sz w:val="17"/>
              </w:rPr>
              <w:t>Conditions: Passed the House with the opt-out amendment. Sponsor intends to seek its removal.</w:t>
            </w:r>
          </w:p>
        </w:tc>
      </w:tr>
      <w:tr>
        <w:trPr>
          <w:cantSplit w:val="true"/>
        </w:trPr>
        <w:tc>
          <w:tcPr>
            <w:tcW w:type="dxa" w:w="979"/>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LEG-03</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HB 530, State Road Funding Formula Revision</w:t>
            </w:r>
          </w:p>
          <w:p>
            <w:pPr>
              <w:pStyle w:val="IGCell"/>
              <w:keepNext/>
              <w:spacing w:after="0" w:before="40"/>
            </w:pPr>
            <w:r>
              <w:rPr>
                <w:rFonts w:ascii="Arial" w:hAnsi="Arial" w:cs="Arial" w:eastAsia="Arial"/>
                <w:color w:val="192E43"/>
                <w:sz w:val="17"/>
              </w:rPr>
              <w:t>Marlow General Assembly</w:t>
            </w:r>
          </w:p>
        </w:tc>
        <w:tc>
          <w:tcPr>
            <w:tcW w:type="dxa" w:w="1080"/>
            <w:tcMar>
              <w:top w:w="45" w:type="dxa"/>
              <w:left w:w="80" w:type="dxa"/>
              <w:bottom w:w="45" w:type="dxa"/>
              <w:right w:w="60" w:type="dxa"/>
            </w:tcMar>
            <w:vAlign w:val="top"/>
          </w:tcPr>
          <w:p>
            <w:pPr>
              <w:pStyle w:val="IGCell"/>
              <w:keepNext/>
              <w:spacing w:after="0"/>
            </w:pPr>
            <w:r>
              <w:rPr>
                <w:rFonts w:ascii="Arial" w:hAnsi="Arial" w:cs="Arial" w:eastAsia="Arial"/>
                <w:color w:val="192E43"/>
                <w:sz w:val="17"/>
              </w:rPr>
              <w:t>Undecided</w:t>
            </w:r>
          </w:p>
        </w:tc>
        <w:tc>
          <w:tcPr>
            <w:tcW w:type="dxa" w:w="11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In Review</w:t>
            </w:r>
          </w:p>
        </w:tc>
        <w:tc>
          <w:tcPr>
            <w:tcW w:type="dxa" w:w="1368"/>
            <w:tcMar>
              <w:top w:w="45" w:type="dxa"/>
              <w:left w:w="80" w:type="dxa"/>
              <w:bottom w:w="45" w:type="dxa"/>
              <w:right w:w="60" w:type="dxa"/>
            </w:tcMar>
            <w:vAlign w:val="top"/>
          </w:tcPr>
          <w:p>
            <w:pPr>
              <w:pStyle w:val="IGCell"/>
              <w:keepNext/>
              <w:spacing w:after="0"/>
            </w:pPr>
            <w:r>
              <w:rPr>
                <w:rFonts w:ascii="Arial" w:hAnsi="Arial" w:cs="Arial" w:eastAsia="Arial"/>
                <w:color w:val="192E43"/>
                <w:sz w:val="17"/>
              </w:rPr>
              <w:t>No hearing scheduled</w:t>
            </w:r>
          </w:p>
        </w:tc>
        <w:tc>
          <w:tcPr>
            <w:tcW w:type="dxa" w:w="29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County position set after Budget Office impact estimate</w:t>
            </w:r>
          </w:p>
          <w:p>
            <w:pPr>
              <w:pStyle w:val="IGCell"/>
              <w:keepNext/>
              <w:spacing w:after="0" w:before="40"/>
            </w:pPr>
            <w:r>
              <w:rPr>
                <w:rFonts w:ascii="Arial" w:hAnsi="Arial" w:cs="Arial" w:eastAsia="Arial"/>
                <w:color w:val="192E43"/>
                <w:sz w:val="17"/>
              </w:rPr>
              <w:t>Conditions: Could reduce the county share of state road funds before local revenue arrives. Position needed from Deputy County Executive.</w:t>
            </w:r>
          </w:p>
        </w:tc>
      </w:tr>
      <w:tr>
        <w:trPr>
          <w:cantSplit w:val="true"/>
        </w:trPr>
        <w:tc>
          <w:tcPr>
            <w:tcW w:type="dxa" w:w="979"/>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LEG-04</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Supplemental appropriation for the State DOT local bridge program</w:t>
            </w:r>
          </w:p>
          <w:p>
            <w:pPr>
              <w:pStyle w:val="IGCell"/>
              <w:keepNext/>
              <w:spacing w:after="0" w:before="40"/>
            </w:pPr>
            <w:r>
              <w:rPr>
                <w:rFonts w:ascii="Arial" w:hAnsi="Arial" w:cs="Arial" w:eastAsia="Arial"/>
                <w:color w:val="192E43"/>
                <w:sz w:val="17"/>
              </w:rPr>
              <w:t>Marlow General Assembly</w:t>
            </w:r>
          </w:p>
        </w:tc>
        <w:tc>
          <w:tcPr>
            <w:tcW w:type="dxa" w:w="1080"/>
            <w:tcMar>
              <w:top w:w="45" w:type="dxa"/>
              <w:left w:w="80" w:type="dxa"/>
              <w:bottom w:w="45" w:type="dxa"/>
              <w:right w:w="60" w:type="dxa"/>
            </w:tcMar>
            <w:vAlign w:val="top"/>
          </w:tcPr>
          <w:p>
            <w:pPr>
              <w:pStyle w:val="IGCell"/>
              <w:keepNext/>
              <w:spacing w:after="0"/>
            </w:pPr>
            <w:r>
              <w:rPr>
                <w:rFonts w:ascii="Arial" w:hAnsi="Arial" w:cs="Arial" w:eastAsia="Arial"/>
                <w:color w:val="192E43"/>
                <w:sz w:val="17"/>
              </w:rPr>
              <w:t>Support</w:t>
            </w:r>
          </w:p>
        </w:tc>
        <w:tc>
          <w:tcPr>
            <w:tcW w:type="dxa" w:w="11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Cleared</w:t>
            </w:r>
          </w:p>
        </w:tc>
        <w:tc>
          <w:tcPr>
            <w:tcW w:type="dxa" w:w="1368"/>
            <w:tcMar>
              <w:top w:w="45" w:type="dxa"/>
              <w:left w:w="80" w:type="dxa"/>
              <w:bottom w:w="45" w:type="dxa"/>
              <w:right w:w="60" w:type="dxa"/>
            </w:tcMar>
            <w:vAlign w:val="top"/>
          </w:tcPr>
          <w:p>
            <w:pPr>
              <w:pStyle w:val="IGCell"/>
              <w:keepNext/>
              <w:spacing w:after="0"/>
            </w:pPr>
            <w:r>
              <w:rPr>
                <w:rFonts w:ascii="Arial" w:hAnsi="Arial" w:cs="Arial" w:eastAsia="Arial"/>
                <w:color w:val="192E43"/>
                <w:sz w:val="17"/>
              </w:rPr>
              <w:t>Apr 29, 2027</w:t>
            </w:r>
          </w:p>
          <w:p>
            <w:pPr>
              <w:pStyle w:val="IGCell"/>
              <w:keepNext/>
              <w:spacing w:after="0" w:before="40"/>
            </w:pPr>
            <w:r>
              <w:rPr>
                <w:rFonts w:ascii="Arial" w:hAnsi="Arial" w:cs="Arial" w:eastAsia="Arial"/>
                <w:color w:val="192E43"/>
                <w:sz w:val="17"/>
              </w:rPr>
              <w:t>Session adjourns</w:t>
            </w:r>
          </w:p>
        </w:tc>
        <w:tc>
          <w:tcPr>
            <w:tcW w:type="dxa" w:w="29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Funding available to support State DOT match for local bridge projects</w:t>
            </w:r>
          </w:p>
          <w:p>
            <w:pPr>
              <w:pStyle w:val="IGCell"/>
              <w:keepNext/>
              <w:spacing w:after="0" w:before="40"/>
            </w:pPr>
            <w:r>
              <w:rPr>
                <w:rFonts w:ascii="Arial" w:hAnsi="Arial" w:cs="Arial" w:eastAsia="Arial"/>
                <w:color w:val="192E43"/>
                <w:sz w:val="17"/>
              </w:rPr>
              <w:t>Conditions: Not a County-specific request; coordinated through the Association of Counties.</w:t>
            </w:r>
          </w:p>
        </w:tc>
      </w:tr>
      <w:tr>
        <w:trPr>
          <w:cantSplit w:val="true"/>
        </w:trPr>
        <w:tc>
          <w:tcPr>
            <w:tcW w:type="dxa" w:w="979"/>
            <w:tcMar>
              <w:top w:w="45" w:type="dxa"/>
              <w:left w:w="80" w:type="dxa"/>
              <w:bottom w:w="45" w:type="dxa"/>
              <w:right w:w="60" w:type="dxa"/>
            </w:tcMar>
            <w:vAlign w:val="top"/>
          </w:tcPr>
          <w:p>
            <w:pPr>
              <w:pStyle w:val="IGCell"/>
              <w:spacing w:after="0"/>
            </w:pPr>
            <w:r>
              <w:rPr>
                <w:rFonts w:ascii="Arial" w:hAnsi="Arial" w:cs="Arial" w:eastAsia="Arial"/>
                <w:b/>
                <w:color w:val="192E43"/>
                <w:sz w:val="17"/>
              </w:rPr>
              <w:t>LEG-05</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7"/>
              </w:rPr>
              <w:t>Federal appropriations and authorization changes affecting discretionary grant programs</w:t>
            </w:r>
          </w:p>
          <w:p>
            <w:pPr>
              <w:pStyle w:val="IGCell"/>
              <w:spacing w:after="0" w:before="40"/>
            </w:pPr>
            <w:r>
              <w:rPr>
                <w:rFonts w:ascii="Arial" w:hAnsi="Arial" w:cs="Arial" w:eastAsia="Arial"/>
                <w:color w:val="192E43"/>
                <w:sz w:val="17"/>
              </w:rPr>
              <w:t>Congress</w:t>
            </w:r>
          </w:p>
        </w:tc>
        <w:tc>
          <w:tcPr>
            <w:tcW w:type="dxa" w:w="1080"/>
            <w:tcMar>
              <w:top w:w="45" w:type="dxa"/>
              <w:left w:w="80" w:type="dxa"/>
              <w:bottom w:w="45" w:type="dxa"/>
              <w:right w:w="60" w:type="dxa"/>
            </w:tcMar>
            <w:vAlign w:val="top"/>
          </w:tcPr>
          <w:p>
            <w:pPr>
              <w:pStyle w:val="IGCell"/>
              <w:spacing w:after="0"/>
            </w:pPr>
            <w:r>
              <w:rPr>
                <w:rFonts w:ascii="Arial" w:hAnsi="Arial" w:cs="Arial" w:eastAsia="Arial"/>
                <w:color w:val="192E43"/>
                <w:sz w:val="17"/>
              </w:rPr>
              <w:t>Monitor</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Cleared</w:t>
            </w:r>
          </w:p>
        </w:tc>
        <w:tc>
          <w:tcPr>
            <w:tcW w:type="dxa" w:w="1368"/>
            <w:tcMar>
              <w:top w:w="45" w:type="dxa"/>
              <w:left w:w="80" w:type="dxa"/>
              <w:bottom w:w="45" w:type="dxa"/>
              <w:right w:w="60" w:type="dxa"/>
            </w:tcMar>
            <w:vAlign w:val="top"/>
          </w:tcPr>
          <w:p>
            <w:pPr>
              <w:pStyle w:val="IGCell"/>
              <w:spacing w:after="0"/>
            </w:pPr>
            <w:r>
              <w:rPr>
                <w:rFonts w:ascii="Arial" w:hAnsi="Arial" w:cs="Arial" w:eastAsia="Arial"/>
                <w:color w:val="192E43"/>
                <w:sz w:val="17"/>
              </w:rPr>
              <w:t>No date set</w:t>
            </w:r>
          </w:p>
        </w:tc>
        <w:tc>
          <w:tcPr>
            <w:tcW w:type="dxa" w:w="2952"/>
            <w:tcMar>
              <w:top w:w="45" w:type="dxa"/>
              <w:left w:w="80" w:type="dxa"/>
              <w:bottom w:w="45" w:type="dxa"/>
              <w:right w:w="60" w:type="dxa"/>
            </w:tcMar>
            <w:vAlign w:val="top"/>
          </w:tcPr>
          <w:p>
            <w:pPr>
              <w:pStyle w:val="IGCell"/>
              <w:spacing w:after="0"/>
            </w:pPr>
            <w:r>
              <w:rPr>
                <w:rFonts w:ascii="Arial" w:hAnsi="Arial" w:cs="Arial" w:eastAsia="Arial"/>
                <w:color w:val="192E43"/>
                <w:sz w:val="17"/>
              </w:rPr>
              <w:t>Early notice of changes to match requirements or criteria</w:t>
            </w:r>
          </w:p>
          <w:p>
            <w:pPr>
              <w:pStyle w:val="IGCell"/>
              <w:spacing w:after="0" w:before="40"/>
            </w:pPr>
            <w:r>
              <w:rPr>
                <w:rFonts w:ascii="Arial" w:hAnsi="Arial" w:cs="Arial" w:eastAsia="Arial"/>
                <w:color w:val="192E43"/>
                <w:sz w:val="17"/>
              </w:rPr>
              <w:t>Conditions: Monitored through the delegation offices and trade groups.</w:t>
            </w:r>
          </w:p>
        </w:tc>
      </w:tr>
    </w:tbl>
    <w:p>
      <w:pPr>
        <w:spacing w:after="80" w:line="144" w:lineRule="auto"/>
      </w:pPr>
    </w:p>
    <w:p>
      <w:pPr>
        <w:pStyle w:val="Heading2"/>
      </w:pPr>
      <w:r>
        <w:t>7.2 Administrative priorities</w:t>
      </w:r>
    </w:p>
    <w:tbl>
      <w:tblPr>
        <w:tblW w:w="9691"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979"/>
        <w:gridCol w:w="2160"/>
        <w:gridCol w:w="1080"/>
        <w:gridCol w:w="1152"/>
        <w:gridCol w:w="1368"/>
        <w:gridCol w:w="2951"/>
      </w:tblGrid>
      <w:tr>
        <w:trPr>
          <w:tblHeader w:val="true"/>
          <w:cantSplit w:val="true"/>
        </w:trPr>
        <w:tc>
          <w:tcPr>
            <w:tcW w:type="dxa" w:w="979"/>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ID</w:t>
            </w:r>
          </w:p>
        </w:tc>
        <w:tc>
          <w:tcPr>
            <w:tcW w:type="dxa" w:w="2160"/>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Matter and agency</w:t>
            </w:r>
          </w:p>
        </w:tc>
        <w:tc>
          <w:tcPr>
            <w:tcW w:type="dxa" w:w="1080"/>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Position</w:t>
            </w:r>
          </w:p>
        </w:tc>
        <w:tc>
          <w:tcPr>
            <w:tcW w:type="dxa" w:w="115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Clearance</w:t>
            </w:r>
          </w:p>
        </w:tc>
        <w:tc>
          <w:tcPr>
            <w:tcW w:type="dxa" w:w="1368"/>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Next key date</w:t>
            </w:r>
          </w:p>
        </w:tc>
        <w:tc>
          <w:tcPr>
            <w:tcW w:type="dxa" w:w="295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Desired outcome and conditions</w:t>
            </w:r>
          </w:p>
        </w:tc>
      </w:tr>
      <w:tr>
        <w:trPr>
          <w:cantSplit w:val="true"/>
        </w:trPr>
        <w:tc>
          <w:tcPr>
            <w:tcW w:type="dxa" w:w="979"/>
            <w:tcMar>
              <w:top w:w="45" w:type="dxa"/>
              <w:left w:w="80" w:type="dxa"/>
              <w:bottom w:w="45" w:type="dxa"/>
              <w:right w:w="60" w:type="dxa"/>
            </w:tcMar>
            <w:vAlign w:val="top"/>
          </w:tcPr>
          <w:p>
            <w:pPr>
              <w:pStyle w:val="IGCell"/>
              <w:spacing w:after="0"/>
            </w:pPr>
            <w:r>
              <w:rPr>
                <w:rFonts w:ascii="Arial" w:hAnsi="Arial" w:cs="Arial" w:eastAsia="Arial"/>
                <w:b/>
                <w:color w:val="192E43"/>
                <w:sz w:val="17"/>
              </w:rPr>
              <w:t>ADM-01</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7"/>
              </w:rPr>
              <w:t>Federal discretionary grant round for bridge replacement</w:t>
            </w:r>
          </w:p>
          <w:p>
            <w:pPr>
              <w:pStyle w:val="IGCell"/>
              <w:spacing w:after="0" w:before="40"/>
            </w:pPr>
            <w:r>
              <w:rPr>
                <w:rFonts w:ascii="Arial" w:hAnsi="Arial" w:cs="Arial" w:eastAsia="Arial"/>
                <w:color w:val="192E43"/>
                <w:sz w:val="17"/>
              </w:rPr>
              <w:t>Federal regional office and headquarters</w:t>
            </w:r>
          </w:p>
        </w:tc>
        <w:tc>
          <w:tcPr>
            <w:tcW w:type="dxa" w:w="1080"/>
            <w:tcMar>
              <w:top w:w="45" w:type="dxa"/>
              <w:left w:w="80" w:type="dxa"/>
              <w:bottom w:w="45" w:type="dxa"/>
              <w:right w:w="60" w:type="dxa"/>
            </w:tcMar>
            <w:vAlign w:val="top"/>
          </w:tcPr>
          <w:p>
            <w:pPr>
              <w:pStyle w:val="IGCell"/>
              <w:spacing w:after="0"/>
            </w:pPr>
            <w:r>
              <w:rPr>
                <w:rFonts w:ascii="Arial" w:hAnsi="Arial" w:cs="Arial" w:eastAsia="Arial"/>
                <w:color w:val="192E43"/>
                <w:sz w:val="17"/>
              </w:rPr>
              <w:t>Seek</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Cleared</w:t>
            </w:r>
          </w:p>
        </w:tc>
        <w:tc>
          <w:tcPr>
            <w:tcW w:type="dxa" w:w="1368"/>
            <w:tcMar>
              <w:top w:w="45" w:type="dxa"/>
              <w:left w:w="80" w:type="dxa"/>
              <w:bottom w:w="45" w:type="dxa"/>
              <w:right w:w="60" w:type="dxa"/>
            </w:tcMar>
            <w:vAlign w:val="top"/>
          </w:tcPr>
          <w:p>
            <w:pPr>
              <w:pStyle w:val="IGCell"/>
              <w:spacing w:after="0"/>
            </w:pPr>
            <w:r>
              <w:rPr>
                <w:rFonts w:ascii="Arial" w:hAnsi="Arial" w:cs="Arial" w:eastAsia="Arial"/>
                <w:color w:val="192E43"/>
                <w:sz w:val="17"/>
              </w:rPr>
              <w:t>Jun 15, 2027</w:t>
            </w:r>
          </w:p>
          <w:p>
            <w:pPr>
              <w:pStyle w:val="IGCell"/>
              <w:spacing w:after="0" w:before="40"/>
            </w:pPr>
            <w:r>
              <w:rPr>
                <w:rFonts w:ascii="Arial" w:hAnsi="Arial" w:cs="Arial" w:eastAsia="Arial"/>
                <w:color w:val="192E43"/>
                <w:sz w:val="17"/>
              </w:rPr>
              <w:t>Assumed notice publication</w:t>
            </w:r>
          </w:p>
        </w:tc>
        <w:tc>
          <w:tcPr>
            <w:tcW w:type="dxa" w:w="2952"/>
            <w:tcMar>
              <w:top w:w="45" w:type="dxa"/>
              <w:left w:w="80" w:type="dxa"/>
              <w:bottom w:w="45" w:type="dxa"/>
              <w:right w:w="60" w:type="dxa"/>
            </w:tcMar>
            <w:vAlign w:val="top"/>
          </w:tcPr>
          <w:p>
            <w:pPr>
              <w:pStyle w:val="IGCell"/>
              <w:spacing w:after="0"/>
            </w:pPr>
            <w:r>
              <w:rPr>
                <w:rFonts w:ascii="Arial" w:hAnsi="Arial" w:cs="Arial" w:eastAsia="Arial"/>
                <w:color w:val="192E43"/>
                <w:sz w:val="17"/>
              </w:rPr>
              <w:t>Complete application with committed match and delegation support</w:t>
            </w:r>
          </w:p>
          <w:p>
            <w:pPr>
              <w:pStyle w:val="IGCell"/>
              <w:spacing w:after="0" w:before="40"/>
            </w:pPr>
            <w:r>
              <w:rPr>
                <w:rFonts w:ascii="Arial" w:hAnsi="Arial" w:cs="Arial" w:eastAsia="Arial"/>
                <w:color w:val="192E43"/>
                <w:sz w:val="17"/>
              </w:rPr>
              <w:t>Conditions: Notice date and deadline are planning assumptions until the agency publishes them.</w:t>
            </w:r>
          </w:p>
        </w:tc>
      </w:tr>
      <w:tr>
        <w:trPr>
          <w:cantSplit w:val="true"/>
        </w:trPr>
        <w:tc>
          <w:tcPr>
            <w:tcW w:type="dxa" w:w="979"/>
            <w:tcMar>
              <w:top w:w="45" w:type="dxa"/>
              <w:left w:w="80" w:type="dxa"/>
              <w:bottom w:w="45" w:type="dxa"/>
              <w:right w:w="60" w:type="dxa"/>
            </w:tcMar>
            <w:vAlign w:val="top"/>
          </w:tcPr>
          <w:p>
            <w:pPr>
              <w:pStyle w:val="IGCell"/>
              <w:spacing w:after="0"/>
            </w:pPr>
            <w:r>
              <w:rPr>
                <w:rFonts w:ascii="Arial" w:hAnsi="Arial" w:cs="Arial" w:eastAsia="Arial"/>
                <w:b/>
                <w:color w:val="192E43"/>
                <w:sz w:val="17"/>
              </w:rPr>
              <w:t>ADM-02</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7"/>
              </w:rPr>
              <w:t>State DOT local bridge program match commitment</w:t>
            </w:r>
          </w:p>
          <w:p>
            <w:pPr>
              <w:pStyle w:val="IGCell"/>
              <w:spacing w:after="0" w:before="40"/>
            </w:pPr>
            <w:r>
              <w:rPr>
                <w:rFonts w:ascii="Arial" w:hAnsi="Arial" w:cs="Arial" w:eastAsia="Arial"/>
                <w:color w:val="192E43"/>
                <w:sz w:val="17"/>
              </w:rPr>
              <w:t>Marlow Department of Transportation</w:t>
            </w:r>
          </w:p>
        </w:tc>
        <w:tc>
          <w:tcPr>
            <w:tcW w:type="dxa" w:w="1080"/>
            <w:tcMar>
              <w:top w:w="45" w:type="dxa"/>
              <w:left w:w="80" w:type="dxa"/>
              <w:bottom w:w="45" w:type="dxa"/>
              <w:right w:w="60" w:type="dxa"/>
            </w:tcMar>
            <w:vAlign w:val="top"/>
          </w:tcPr>
          <w:p>
            <w:pPr>
              <w:pStyle w:val="IGCell"/>
              <w:spacing w:after="0"/>
            </w:pPr>
            <w:r>
              <w:rPr>
                <w:rFonts w:ascii="Arial" w:hAnsi="Arial" w:cs="Arial" w:eastAsia="Arial"/>
                <w:color w:val="192E43"/>
                <w:sz w:val="17"/>
              </w:rPr>
              <w:t>Seek</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Cleared</w:t>
            </w:r>
          </w:p>
        </w:tc>
        <w:tc>
          <w:tcPr>
            <w:tcW w:type="dxa" w:w="1368"/>
            <w:tcMar>
              <w:top w:w="45" w:type="dxa"/>
              <w:left w:w="80" w:type="dxa"/>
              <w:bottom w:w="45" w:type="dxa"/>
              <w:right w:w="60" w:type="dxa"/>
            </w:tcMar>
            <w:vAlign w:val="top"/>
          </w:tcPr>
          <w:p>
            <w:pPr>
              <w:pStyle w:val="IGCell"/>
              <w:spacing w:after="0"/>
            </w:pPr>
            <w:r>
              <w:rPr>
                <w:rFonts w:ascii="Arial" w:hAnsi="Arial" w:cs="Arial" w:eastAsia="Arial"/>
                <w:color w:val="192E43"/>
                <w:sz w:val="17"/>
              </w:rPr>
              <w:t>Jul 30, 2027</w:t>
            </w:r>
          </w:p>
          <w:p>
            <w:pPr>
              <w:pStyle w:val="IGCell"/>
              <w:spacing w:after="0" w:before="40"/>
            </w:pPr>
            <w:r>
              <w:rPr>
                <w:rFonts w:ascii="Arial" w:hAnsi="Arial" w:cs="Arial" w:eastAsia="Arial"/>
                <w:color w:val="192E43"/>
                <w:sz w:val="17"/>
              </w:rPr>
              <w:t>Written match commitment needed</w:t>
            </w:r>
          </w:p>
        </w:tc>
        <w:tc>
          <w:tcPr>
            <w:tcW w:type="dxa" w:w="2952"/>
            <w:tcMar>
              <w:top w:w="45" w:type="dxa"/>
              <w:left w:w="80" w:type="dxa"/>
              <w:bottom w:w="45" w:type="dxa"/>
              <w:right w:w="60" w:type="dxa"/>
            </w:tcMar>
            <w:vAlign w:val="top"/>
          </w:tcPr>
          <w:p>
            <w:pPr>
              <w:pStyle w:val="IGCell"/>
              <w:spacing w:after="0"/>
            </w:pPr>
            <w:r>
              <w:rPr>
                <w:rFonts w:ascii="Arial" w:hAnsi="Arial" w:cs="Arial" w:eastAsia="Arial"/>
                <w:color w:val="192E43"/>
                <w:sz w:val="17"/>
              </w:rPr>
              <w:t>Written commitment of state match before the application is finalized</w:t>
            </w:r>
          </w:p>
          <w:p>
            <w:pPr>
              <w:pStyle w:val="IGCell"/>
              <w:spacing w:after="0" w:before="40"/>
            </w:pPr>
            <w:r>
              <w:rPr>
                <w:rFonts w:ascii="Arial" w:hAnsi="Arial" w:cs="Arial" w:eastAsia="Arial"/>
                <w:color w:val="192E43"/>
                <w:sz w:val="17"/>
              </w:rPr>
              <w:t>Conditions: State DOT requires an executed local agreement first.</w:t>
            </w:r>
          </w:p>
        </w:tc>
      </w:tr>
      <w:tr>
        <w:trPr>
          <w:cantSplit w:val="true"/>
        </w:trPr>
        <w:tc>
          <w:tcPr>
            <w:tcW w:type="dxa" w:w="979"/>
            <w:tcMar>
              <w:top w:w="45" w:type="dxa"/>
              <w:left w:w="80" w:type="dxa"/>
              <w:bottom w:w="45" w:type="dxa"/>
              <w:right w:w="60" w:type="dxa"/>
            </w:tcMar>
            <w:vAlign w:val="top"/>
          </w:tcPr>
          <w:p>
            <w:pPr>
              <w:pStyle w:val="IGCell"/>
              <w:spacing w:after="0"/>
            </w:pPr>
            <w:r>
              <w:rPr>
                <w:rFonts w:ascii="Arial" w:hAnsi="Arial" w:cs="Arial" w:eastAsia="Arial"/>
                <w:b/>
                <w:color w:val="192E43"/>
                <w:sz w:val="17"/>
              </w:rPr>
              <w:t>ADM-03</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7"/>
              </w:rPr>
              <w:t>Federal environmental review scoping for the bridge corridor</w:t>
            </w:r>
          </w:p>
          <w:p>
            <w:pPr>
              <w:pStyle w:val="IGCell"/>
              <w:spacing w:after="0" w:before="40"/>
            </w:pPr>
            <w:r>
              <w:rPr>
                <w:rFonts w:ascii="Arial" w:hAnsi="Arial" w:cs="Arial" w:eastAsia="Arial"/>
                <w:color w:val="192E43"/>
                <w:sz w:val="17"/>
              </w:rPr>
              <w:t>Federal lead agency</w:t>
            </w:r>
          </w:p>
        </w:tc>
        <w:tc>
          <w:tcPr>
            <w:tcW w:type="dxa" w:w="1080"/>
            <w:tcMar>
              <w:top w:w="45" w:type="dxa"/>
              <w:left w:w="80" w:type="dxa"/>
              <w:bottom w:w="45" w:type="dxa"/>
              <w:right w:w="60" w:type="dxa"/>
            </w:tcMar>
            <w:vAlign w:val="top"/>
          </w:tcPr>
          <w:p>
            <w:pPr>
              <w:pStyle w:val="IGCell"/>
              <w:spacing w:after="0"/>
            </w:pPr>
            <w:r>
              <w:rPr>
                <w:rFonts w:ascii="Arial" w:hAnsi="Arial" w:cs="Arial" w:eastAsia="Arial"/>
                <w:color w:val="192E43"/>
                <w:sz w:val="17"/>
              </w:rPr>
              <w:t>Seek</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Cleared</w:t>
            </w:r>
          </w:p>
        </w:tc>
        <w:tc>
          <w:tcPr>
            <w:tcW w:type="dxa" w:w="1368"/>
            <w:tcMar>
              <w:top w:w="45" w:type="dxa"/>
              <w:left w:w="80" w:type="dxa"/>
              <w:bottom w:w="45" w:type="dxa"/>
              <w:right w:w="60" w:type="dxa"/>
            </w:tcMar>
            <w:vAlign w:val="top"/>
          </w:tcPr>
          <w:p>
            <w:pPr>
              <w:pStyle w:val="IGCell"/>
              <w:spacing w:after="0"/>
            </w:pPr>
            <w:r>
              <w:rPr>
                <w:rFonts w:ascii="Arial" w:hAnsi="Arial" w:cs="Arial" w:eastAsia="Arial"/>
                <w:color w:val="192E43"/>
                <w:sz w:val="17"/>
              </w:rPr>
              <w:t>Jul 16, 2027</w:t>
            </w:r>
          </w:p>
          <w:p>
            <w:pPr>
              <w:pStyle w:val="IGCell"/>
              <w:spacing w:after="0" w:before="40"/>
            </w:pPr>
            <w:r>
              <w:rPr>
                <w:rFonts w:ascii="Arial" w:hAnsi="Arial" w:cs="Arial" w:eastAsia="Arial"/>
                <w:color w:val="192E43"/>
                <w:sz w:val="17"/>
              </w:rPr>
              <w:t>Concerns documented with lead agency</w:t>
            </w:r>
          </w:p>
        </w:tc>
        <w:tc>
          <w:tcPr>
            <w:tcW w:type="dxa" w:w="2952"/>
            <w:tcMar>
              <w:top w:w="45" w:type="dxa"/>
              <w:left w:w="80" w:type="dxa"/>
              <w:bottom w:w="45" w:type="dxa"/>
              <w:right w:w="60" w:type="dxa"/>
            </w:tcMar>
            <w:vAlign w:val="top"/>
          </w:tcPr>
          <w:p>
            <w:pPr>
              <w:pStyle w:val="IGCell"/>
              <w:spacing w:after="0"/>
            </w:pPr>
            <w:r>
              <w:rPr>
                <w:rFonts w:ascii="Arial" w:hAnsi="Arial" w:cs="Arial" w:eastAsia="Arial"/>
                <w:color w:val="192E43"/>
                <w:sz w:val="17"/>
              </w:rPr>
              <w:t>Tribal Nation's corridor concerns documented and conveyed before scoping closes</w:t>
            </w:r>
          </w:p>
          <w:p>
            <w:pPr>
              <w:pStyle w:val="IGCell"/>
              <w:spacing w:after="0" w:before="40"/>
            </w:pPr>
            <w:r>
              <w:rPr>
                <w:rFonts w:ascii="Arial" w:hAnsi="Arial" w:cs="Arial" w:eastAsia="Arial"/>
                <w:color w:val="192E43"/>
                <w:sz w:val="17"/>
              </w:rPr>
              <w:t>Conditions: The lead agency decides consultation steps. County role is to coordinate early and supply information.</w:t>
            </w:r>
          </w:p>
        </w:tc>
      </w:tr>
      <w:tr>
        <w:trPr>
          <w:cantSplit w:val="true"/>
        </w:trPr>
        <w:tc>
          <w:tcPr>
            <w:tcW w:type="dxa" w:w="979"/>
            <w:tcMar>
              <w:top w:w="45" w:type="dxa"/>
              <w:left w:w="80" w:type="dxa"/>
              <w:bottom w:w="45" w:type="dxa"/>
              <w:right w:w="60" w:type="dxa"/>
            </w:tcMar>
            <w:vAlign w:val="top"/>
          </w:tcPr>
          <w:p>
            <w:pPr>
              <w:pStyle w:val="IGCell"/>
              <w:spacing w:after="0"/>
            </w:pPr>
            <w:r>
              <w:rPr>
                <w:rFonts w:ascii="Arial" w:hAnsi="Arial" w:cs="Arial" w:eastAsia="Arial"/>
                <w:b/>
                <w:color w:val="192E43"/>
                <w:sz w:val="17"/>
              </w:rPr>
              <w:t>ADM-04</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7"/>
              </w:rPr>
              <w:t>Bridge interlocal agreement cost allocation</w:t>
            </w:r>
          </w:p>
          <w:p>
            <w:pPr>
              <w:pStyle w:val="IGCell"/>
              <w:spacing w:after="0" w:before="40"/>
            </w:pPr>
            <w:r>
              <w:rPr>
                <w:rFonts w:ascii="Arial" w:hAnsi="Arial" w:cs="Arial" w:eastAsia="Arial"/>
                <w:color w:val="192E43"/>
                <w:sz w:val="17"/>
              </w:rPr>
              <w:t>Riverton City; River Valley Transit Authority</w:t>
            </w:r>
          </w:p>
        </w:tc>
        <w:tc>
          <w:tcPr>
            <w:tcW w:type="dxa" w:w="1080"/>
            <w:tcMar>
              <w:top w:w="45" w:type="dxa"/>
              <w:left w:w="80" w:type="dxa"/>
              <w:bottom w:w="45" w:type="dxa"/>
              <w:right w:w="60" w:type="dxa"/>
            </w:tcMar>
            <w:vAlign w:val="top"/>
          </w:tcPr>
          <w:p>
            <w:pPr>
              <w:pStyle w:val="IGCell"/>
              <w:spacing w:after="0"/>
            </w:pPr>
            <w:r>
              <w:rPr>
                <w:rFonts w:ascii="Arial" w:hAnsi="Arial" w:cs="Arial" w:eastAsia="Arial"/>
                <w:color w:val="192E43"/>
                <w:sz w:val="17"/>
              </w:rPr>
              <w:t>Seek</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Cleared</w:t>
            </w:r>
          </w:p>
        </w:tc>
        <w:tc>
          <w:tcPr>
            <w:tcW w:type="dxa" w:w="1368"/>
            <w:tcMar>
              <w:top w:w="45" w:type="dxa"/>
              <w:left w:w="80" w:type="dxa"/>
              <w:bottom w:w="45" w:type="dxa"/>
              <w:right w:w="60" w:type="dxa"/>
            </w:tcMar>
            <w:vAlign w:val="top"/>
          </w:tcPr>
          <w:p>
            <w:pPr>
              <w:pStyle w:val="IGCell"/>
              <w:spacing w:after="0"/>
            </w:pPr>
            <w:r>
              <w:rPr>
                <w:rFonts w:ascii="Arial" w:hAnsi="Arial" w:cs="Arial" w:eastAsia="Arial"/>
                <w:color w:val="192E43"/>
                <w:sz w:val="17"/>
              </w:rPr>
              <w:t>Apr 30, 2027</w:t>
            </w:r>
          </w:p>
          <w:p>
            <w:pPr>
              <w:pStyle w:val="IGCell"/>
              <w:spacing w:after="0" w:before="40"/>
            </w:pPr>
            <w:r>
              <w:rPr>
                <w:rFonts w:ascii="Arial" w:hAnsi="Arial" w:cs="Arial" w:eastAsia="Arial"/>
                <w:color w:val="192E43"/>
                <w:sz w:val="17"/>
              </w:rPr>
              <w:t>Term sheet target (revised to May 14)</w:t>
            </w:r>
          </w:p>
        </w:tc>
        <w:tc>
          <w:tcPr>
            <w:tcW w:type="dxa" w:w="2952"/>
            <w:tcMar>
              <w:top w:w="45" w:type="dxa"/>
              <w:left w:w="80" w:type="dxa"/>
              <w:bottom w:w="45" w:type="dxa"/>
              <w:right w:w="60" w:type="dxa"/>
            </w:tcMar>
            <w:vAlign w:val="top"/>
          </w:tcPr>
          <w:p>
            <w:pPr>
              <w:pStyle w:val="IGCell"/>
              <w:spacing w:after="0"/>
            </w:pPr>
            <w:r>
              <w:rPr>
                <w:rFonts w:ascii="Arial" w:hAnsi="Arial" w:cs="Arial" w:eastAsia="Arial"/>
                <w:color w:val="192E43"/>
                <w:sz w:val="17"/>
              </w:rPr>
              <w:t>An allocation within the range authorized by the Deputy County Executive</w:t>
            </w:r>
          </w:p>
          <w:p>
            <w:pPr>
              <w:pStyle w:val="IGCell"/>
              <w:spacing w:after="0" w:before="40"/>
            </w:pPr>
            <w:r>
              <w:rPr>
                <w:rFonts w:ascii="Arial" w:hAnsi="Arial" w:cs="Arial" w:eastAsia="Arial"/>
                <w:color w:val="192E43"/>
                <w:sz w:val="17"/>
              </w:rPr>
              <w:t>Conditions: Deputy County Executive authorized a negotiating range on Apr 1.</w:t>
            </w:r>
          </w:p>
        </w:tc>
      </w:tr>
      <w:tr>
        <w:trPr>
          <w:cantSplit w:val="true"/>
        </w:trPr>
        <w:tc>
          <w:tcPr>
            <w:tcW w:type="dxa" w:w="979"/>
            <w:tcMar>
              <w:top w:w="45" w:type="dxa"/>
              <w:left w:w="80" w:type="dxa"/>
              <w:bottom w:w="45" w:type="dxa"/>
              <w:right w:w="60" w:type="dxa"/>
            </w:tcMar>
            <w:vAlign w:val="top"/>
          </w:tcPr>
          <w:p>
            <w:pPr>
              <w:pStyle w:val="IGCell"/>
              <w:spacing w:after="0"/>
            </w:pPr>
            <w:r>
              <w:rPr>
                <w:rFonts w:ascii="Arial" w:hAnsi="Arial" w:cs="Arial" w:eastAsia="Arial"/>
                <w:b/>
                <w:color w:val="192E43"/>
                <w:sz w:val="17"/>
              </w:rPr>
              <w:t>ADM-05</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7"/>
              </w:rPr>
              <w:t>State stormwater general permit revision</w:t>
            </w:r>
          </w:p>
          <w:p>
            <w:pPr>
              <w:pStyle w:val="IGCell"/>
              <w:spacing w:after="0" w:before="40"/>
            </w:pPr>
            <w:r>
              <w:rPr>
                <w:rFonts w:ascii="Arial" w:hAnsi="Arial" w:cs="Arial" w:eastAsia="Arial"/>
                <w:color w:val="192E43"/>
                <w:sz w:val="17"/>
              </w:rPr>
              <w:t>State environmental permitting agency</w:t>
            </w:r>
          </w:p>
        </w:tc>
        <w:tc>
          <w:tcPr>
            <w:tcW w:type="dxa" w:w="1080"/>
            <w:tcMar>
              <w:top w:w="45" w:type="dxa"/>
              <w:left w:w="80" w:type="dxa"/>
              <w:bottom w:w="45" w:type="dxa"/>
              <w:right w:w="60" w:type="dxa"/>
            </w:tcMar>
            <w:vAlign w:val="top"/>
          </w:tcPr>
          <w:p>
            <w:pPr>
              <w:pStyle w:val="IGCell"/>
              <w:spacing w:after="0"/>
            </w:pPr>
            <w:r>
              <w:rPr>
                <w:rFonts w:ascii="Arial" w:hAnsi="Arial" w:cs="Arial" w:eastAsia="Arial"/>
                <w:color w:val="192E43"/>
                <w:sz w:val="17"/>
              </w:rPr>
              <w:t>Amend</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Cleared</w:t>
            </w:r>
          </w:p>
        </w:tc>
        <w:tc>
          <w:tcPr>
            <w:tcW w:type="dxa" w:w="1368"/>
            <w:tcMar>
              <w:top w:w="45" w:type="dxa"/>
              <w:left w:w="80" w:type="dxa"/>
              <w:bottom w:w="45" w:type="dxa"/>
              <w:right w:w="60" w:type="dxa"/>
            </w:tcMar>
            <w:vAlign w:val="top"/>
          </w:tcPr>
          <w:p>
            <w:pPr>
              <w:pStyle w:val="IGCell"/>
              <w:spacing w:after="0"/>
            </w:pPr>
            <w:r>
              <w:rPr>
                <w:rFonts w:ascii="Arial" w:hAnsi="Arial" w:cs="Arial" w:eastAsia="Arial"/>
                <w:color w:val="192E43"/>
                <w:sz w:val="17"/>
              </w:rPr>
              <w:t>May 7, 2027</w:t>
            </w:r>
          </w:p>
          <w:p>
            <w:pPr>
              <w:pStyle w:val="IGCell"/>
              <w:spacing w:after="0" w:before="40"/>
            </w:pPr>
            <w:r>
              <w:rPr>
                <w:rFonts w:ascii="Arial" w:hAnsi="Arial" w:cs="Arial" w:eastAsia="Arial"/>
                <w:color w:val="192E43"/>
                <w:sz w:val="17"/>
              </w:rPr>
              <w:t>Comment period closes</w:t>
            </w:r>
          </w:p>
        </w:tc>
        <w:tc>
          <w:tcPr>
            <w:tcW w:type="dxa" w:w="2952"/>
            <w:tcMar>
              <w:top w:w="45" w:type="dxa"/>
              <w:left w:w="80" w:type="dxa"/>
              <w:bottom w:w="45" w:type="dxa"/>
              <w:right w:w="60" w:type="dxa"/>
            </w:tcMar>
            <w:vAlign w:val="top"/>
          </w:tcPr>
          <w:p>
            <w:pPr>
              <w:pStyle w:val="IGCell"/>
              <w:spacing w:after="0"/>
            </w:pPr>
            <w:r>
              <w:rPr>
                <w:rFonts w:ascii="Arial" w:hAnsi="Arial" w:cs="Arial" w:eastAsia="Arial"/>
                <w:color w:val="192E43"/>
                <w:sz w:val="17"/>
              </w:rPr>
              <w:t>Rule language that does not reduce county authority to apply stricter standards</w:t>
            </w:r>
          </w:p>
          <w:p>
            <w:pPr>
              <w:pStyle w:val="IGCell"/>
              <w:spacing w:after="0" w:before="40"/>
            </w:pPr>
            <w:r>
              <w:rPr>
                <w:rFonts w:ascii="Arial" w:hAnsi="Arial" w:cs="Arial" w:eastAsia="Arial"/>
                <w:color w:val="192E43"/>
                <w:sz w:val="17"/>
              </w:rPr>
              <w:t>Conditions: If HB 388 is enacted with the opt-out, comments focus on implementation. If not, they focus on authority.</w:t>
            </w:r>
          </w:p>
        </w:tc>
      </w:tr>
      <w:tr>
        <w:trPr>
          <w:cantSplit w:val="true"/>
        </w:trPr>
        <w:tc>
          <w:tcPr>
            <w:tcW w:type="dxa" w:w="979"/>
            <w:tcMar>
              <w:top w:w="45" w:type="dxa"/>
              <w:left w:w="80" w:type="dxa"/>
              <w:bottom w:w="45" w:type="dxa"/>
              <w:right w:w="60" w:type="dxa"/>
            </w:tcMar>
            <w:vAlign w:val="top"/>
          </w:tcPr>
          <w:p>
            <w:pPr>
              <w:pStyle w:val="IGCell"/>
              <w:spacing w:after="0"/>
            </w:pPr>
            <w:r>
              <w:rPr>
                <w:rFonts w:ascii="Arial" w:hAnsi="Arial" w:cs="Arial" w:eastAsia="Arial"/>
                <w:b/>
                <w:color w:val="192E43"/>
                <w:sz w:val="17"/>
              </w:rPr>
              <w:t>ADM-06</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7"/>
              </w:rPr>
              <w:t>Governor's office position on SB 214</w:t>
            </w:r>
          </w:p>
          <w:p>
            <w:pPr>
              <w:pStyle w:val="IGCell"/>
              <w:spacing w:after="0" w:before="40"/>
            </w:pPr>
            <w:r>
              <w:rPr>
                <w:rFonts w:ascii="Arial" w:hAnsi="Arial" w:cs="Arial" w:eastAsia="Arial"/>
                <w:color w:val="192E43"/>
                <w:sz w:val="17"/>
              </w:rPr>
              <w:t>Governor's Office</w:t>
            </w:r>
          </w:p>
        </w:tc>
        <w:tc>
          <w:tcPr>
            <w:tcW w:type="dxa" w:w="1080"/>
            <w:tcMar>
              <w:top w:w="45" w:type="dxa"/>
              <w:left w:w="80" w:type="dxa"/>
              <w:bottom w:w="45" w:type="dxa"/>
              <w:right w:w="60" w:type="dxa"/>
            </w:tcMar>
            <w:vAlign w:val="top"/>
          </w:tcPr>
          <w:p>
            <w:pPr>
              <w:pStyle w:val="IGCell"/>
              <w:spacing w:after="0"/>
            </w:pPr>
            <w:r>
              <w:rPr>
                <w:rFonts w:ascii="Arial" w:hAnsi="Arial" w:cs="Arial" w:eastAsia="Arial"/>
                <w:color w:val="192E43"/>
                <w:sz w:val="17"/>
              </w:rPr>
              <w:t>Seek</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Cleared</w:t>
            </w:r>
          </w:p>
        </w:tc>
        <w:tc>
          <w:tcPr>
            <w:tcW w:type="dxa" w:w="1368"/>
            <w:tcMar>
              <w:top w:w="45" w:type="dxa"/>
              <w:left w:w="80" w:type="dxa"/>
              <w:bottom w:w="45" w:type="dxa"/>
              <w:right w:w="60" w:type="dxa"/>
            </w:tcMar>
            <w:vAlign w:val="top"/>
          </w:tcPr>
          <w:p>
            <w:pPr>
              <w:pStyle w:val="IGCell"/>
              <w:spacing w:after="0"/>
            </w:pPr>
            <w:r>
              <w:rPr>
                <w:rFonts w:ascii="Arial" w:hAnsi="Arial" w:cs="Arial" w:eastAsia="Arial"/>
                <w:color w:val="192E43"/>
                <w:sz w:val="17"/>
              </w:rPr>
              <w:t>Apr 22, 2027</w:t>
            </w:r>
          </w:p>
          <w:p>
            <w:pPr>
              <w:pStyle w:val="IGCell"/>
              <w:spacing w:after="0" w:before="40"/>
            </w:pPr>
            <w:r>
              <w:rPr>
                <w:rFonts w:ascii="Arial" w:hAnsi="Arial" w:cs="Arial" w:eastAsia="Arial"/>
                <w:color w:val="192E43"/>
                <w:sz w:val="17"/>
              </w:rPr>
              <w:t>Policy staff briefing</w:t>
            </w:r>
          </w:p>
        </w:tc>
        <w:tc>
          <w:tcPr>
            <w:tcW w:type="dxa" w:w="2952"/>
            <w:tcMar>
              <w:top w:w="45" w:type="dxa"/>
              <w:left w:w="80" w:type="dxa"/>
              <w:bottom w:w="45" w:type="dxa"/>
              <w:right w:w="60" w:type="dxa"/>
            </w:tcMar>
            <w:vAlign w:val="top"/>
          </w:tcPr>
          <w:p>
            <w:pPr>
              <w:pStyle w:val="IGCell"/>
              <w:spacing w:after="0"/>
            </w:pPr>
            <w:r>
              <w:rPr>
                <w:rFonts w:ascii="Arial" w:hAnsi="Arial" w:cs="Arial" w:eastAsia="Arial"/>
                <w:color w:val="192E43"/>
                <w:sz w:val="17"/>
              </w:rPr>
              <w:t>A signal on signature before the bill reaches the governor</w:t>
            </w:r>
          </w:p>
          <w:p>
            <w:pPr>
              <w:pStyle w:val="IGCell"/>
              <w:spacing w:after="0" w:before="40"/>
            </w:pPr>
            <w:r>
              <w:rPr>
                <w:rFonts w:ascii="Arial" w:hAnsi="Arial" w:cs="Arial" w:eastAsia="Arial"/>
                <w:color w:val="192E43"/>
                <w:sz w:val="17"/>
              </w:rPr>
              <w:t>Conditions: Governor has 30 days after presentment to act (fictional rule for this example).</w:t>
            </w:r>
          </w:p>
        </w:tc>
      </w:tr>
    </w:tbl>
    <w:p>
      <w:pPr>
        <w:spacing w:after="80" w:line="144" w:lineRule="auto"/>
      </w:pPr>
    </w:p>
    <w:p>
      <w:pPr>
        <w:pStyle w:val="Heading2"/>
      </w:pPr>
      <w:r>
        <w:t>7.3 Where priorities depend on or conflict with each other</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872"/>
        <w:gridCol w:w="3888"/>
        <w:gridCol w:w="3888"/>
      </w:tblGrid>
      <w:tr>
        <w:trPr>
          <w:tblHeader w:val="true"/>
          <w:cantSplit w:val="true"/>
        </w:trPr>
        <w:tc>
          <w:tcPr>
            <w:tcW w:type="dxa" w:w="187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Items</w:t>
            </w:r>
          </w:p>
        </w:tc>
        <w:tc>
          <w:tcPr>
            <w:tcW w:type="dxa" w:w="388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Interaction</w:t>
            </w:r>
          </w:p>
        </w:tc>
        <w:tc>
          <w:tcPr>
            <w:tcW w:type="dxa" w:w="388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Sequencing or resolution</w:t>
            </w:r>
          </w:p>
        </w:tc>
      </w:tr>
      <w:tr>
        <w:trPr>
          <w:cantSplit w:val="true"/>
        </w:trPr>
        <w:tc>
          <w:tcPr>
            <w:tcW w:type="dxa" w:w="1872"/>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LEG-01, ADM-02, ADM-01</w:t>
            </w:r>
          </w:p>
        </w:tc>
        <w:tc>
          <w:tcPr>
            <w:tcW w:type="dxa" w:w="3888"/>
            <w:tcMar>
              <w:top w:w="45" w:type="dxa"/>
              <w:left w:w="80" w:type="dxa"/>
              <w:bottom w:w="45" w:type="dxa"/>
              <w:right w:w="60" w:type="dxa"/>
            </w:tcMar>
            <w:vAlign w:val="top"/>
          </w:tcPr>
          <w:p>
            <w:pPr>
              <w:pStyle w:val="IGCell"/>
              <w:keepNext/>
              <w:spacing w:after="0"/>
            </w:pPr>
            <w:r>
              <w:rPr>
                <w:rFonts w:ascii="Arial" w:hAnsi="Arial" w:cs="Arial" w:eastAsia="Arial"/>
                <w:color w:val="192E43"/>
                <w:sz w:val="17"/>
              </w:rPr>
              <w:t>The local sales tax is the County's match source. The State DOT commitment (Jul 30) and the federal application (Sep 30) both assume SB 214 is enacted.</w:t>
            </w:r>
          </w:p>
        </w:tc>
        <w:tc>
          <w:tcPr>
            <w:tcW w:type="dxa" w:w="3888"/>
            <w:tcMar>
              <w:top w:w="45" w:type="dxa"/>
              <w:left w:w="80" w:type="dxa"/>
              <w:bottom w:w="45" w:type="dxa"/>
              <w:right w:w="60" w:type="dxa"/>
            </w:tcMar>
            <w:vAlign w:val="top"/>
          </w:tcPr>
          <w:p>
            <w:pPr>
              <w:pStyle w:val="IGCell"/>
              <w:keepNext/>
              <w:spacing w:after="0"/>
            </w:pPr>
            <w:r>
              <w:rPr>
                <w:rFonts w:ascii="Arial" w:hAnsi="Arial" w:cs="Arial" w:eastAsia="Arial"/>
                <w:color w:val="192E43"/>
                <w:sz w:val="17"/>
              </w:rPr>
              <w:t>If SB 214 fails or is amended, the Board decides on another match source by Jun 8 (MS-015). Alternate scenarios were requested Apr 5 (ESC-03).</w:t>
            </w:r>
          </w:p>
        </w:tc>
      </w:tr>
      <w:tr>
        <w:trPr>
          <w:cantSplit w:val="true"/>
        </w:trPr>
        <w:tc>
          <w:tcPr>
            <w:tcW w:type="dxa" w:w="1872"/>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ADM-04, ADM-02</w:t>
            </w:r>
          </w:p>
        </w:tc>
        <w:tc>
          <w:tcPr>
            <w:tcW w:type="dxa" w:w="3888"/>
            <w:tcMar>
              <w:top w:w="45" w:type="dxa"/>
              <w:left w:w="80" w:type="dxa"/>
              <w:bottom w:w="45" w:type="dxa"/>
              <w:right w:w="60" w:type="dxa"/>
            </w:tcMar>
            <w:vAlign w:val="top"/>
          </w:tcPr>
          <w:p>
            <w:pPr>
              <w:pStyle w:val="IGCell"/>
              <w:keepNext/>
              <w:spacing w:after="0"/>
            </w:pPr>
            <w:r>
              <w:rPr>
                <w:rFonts w:ascii="Arial" w:hAnsi="Arial" w:cs="Arial" w:eastAsia="Arial"/>
                <w:color w:val="192E43"/>
                <w:sz w:val="17"/>
              </w:rPr>
              <w:t>As scheduled, the State DOT commitment (Jul 30) comes before the agreement is executed (Aug 31). State DOT says it commits only after execution.</w:t>
            </w:r>
          </w:p>
        </w:tc>
        <w:tc>
          <w:tcPr>
            <w:tcW w:type="dxa" w:w="3888"/>
            <w:tcMar>
              <w:top w:w="45" w:type="dxa"/>
              <w:left w:w="80" w:type="dxa"/>
              <w:bottom w:w="45" w:type="dxa"/>
              <w:right w:w="60" w:type="dxa"/>
            </w:tcMar>
            <w:vAlign w:val="top"/>
          </w:tcPr>
          <w:p>
            <w:pPr>
              <w:pStyle w:val="IGCell"/>
              <w:keepNext/>
              <w:spacing w:after="0"/>
            </w:pPr>
            <w:r>
              <w:rPr>
                <w:rFonts w:ascii="Arial" w:hAnsi="Arial" w:cs="Arial" w:eastAsia="Arial"/>
                <w:color w:val="192E43"/>
                <w:sz w:val="17"/>
              </w:rPr>
              <w:t>Ask State DOT in May whether governing body approvals (Aug 17) or an authorizing resolution can support the commitment. If not, move the commitment and application sequence.</w:t>
            </w:r>
          </w:p>
        </w:tc>
      </w:tr>
      <w:tr>
        <w:trPr>
          <w:cantSplit w:val="true"/>
        </w:trPr>
        <w:tc>
          <w:tcPr>
            <w:tcW w:type="dxa" w:w="1872"/>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LEG-02, ADM-05</w:t>
            </w:r>
          </w:p>
        </w:tc>
        <w:tc>
          <w:tcPr>
            <w:tcW w:type="dxa" w:w="3888"/>
            <w:tcMar>
              <w:top w:w="45" w:type="dxa"/>
              <w:left w:w="80" w:type="dxa"/>
              <w:bottom w:w="45" w:type="dxa"/>
              <w:right w:w="60" w:type="dxa"/>
            </w:tcMar>
            <w:vAlign w:val="top"/>
          </w:tcPr>
          <w:p>
            <w:pPr>
              <w:pStyle w:val="IGCell"/>
              <w:keepNext/>
              <w:spacing w:after="0"/>
            </w:pPr>
            <w:r>
              <w:rPr>
                <w:rFonts w:ascii="Arial" w:hAnsi="Arial" w:cs="Arial" w:eastAsia="Arial"/>
                <w:color w:val="192E43"/>
                <w:sz w:val="17"/>
              </w:rPr>
              <w:t>HB 388 would preempt the standards the state stormwater permit revision touches.</w:t>
            </w:r>
          </w:p>
        </w:tc>
        <w:tc>
          <w:tcPr>
            <w:tcW w:type="dxa" w:w="3888"/>
            <w:tcMar>
              <w:top w:w="45" w:type="dxa"/>
              <w:left w:w="80" w:type="dxa"/>
              <w:bottom w:w="45" w:type="dxa"/>
              <w:right w:w="60" w:type="dxa"/>
            </w:tcMar>
            <w:vAlign w:val="top"/>
          </w:tcPr>
          <w:p>
            <w:pPr>
              <w:pStyle w:val="IGCell"/>
              <w:keepNext/>
              <w:spacing w:after="0"/>
            </w:pPr>
            <w:r>
              <w:rPr>
                <w:rFonts w:ascii="Arial" w:hAnsi="Arial" w:cs="Arial" w:eastAsia="Arial"/>
                <w:color w:val="192E43"/>
                <w:sz w:val="17"/>
              </w:rPr>
              <w:t>File permit comments (May 7) that hold up whether or not the opt-out survives in the Senate.</w:t>
            </w:r>
          </w:p>
        </w:tc>
      </w:tr>
      <w:tr>
        <w:trPr>
          <w:cantSplit w:val="true"/>
        </w:trPr>
        <w:tc>
          <w:tcPr>
            <w:tcW w:type="dxa" w:w="1872"/>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LEG-03, LEG-01</w:t>
            </w:r>
          </w:p>
        </w:tc>
        <w:tc>
          <w:tcPr>
            <w:tcW w:type="dxa" w:w="3888"/>
            <w:tcMar>
              <w:top w:w="45" w:type="dxa"/>
              <w:left w:w="80" w:type="dxa"/>
              <w:bottom w:w="45" w:type="dxa"/>
              <w:right w:w="60" w:type="dxa"/>
            </w:tcMar>
            <w:vAlign w:val="top"/>
          </w:tcPr>
          <w:p>
            <w:pPr>
              <w:pStyle w:val="IGCell"/>
              <w:keepNext/>
              <w:spacing w:after="0"/>
            </w:pPr>
            <w:r>
              <w:rPr>
                <w:rFonts w:ascii="Arial" w:hAnsi="Arial" w:cs="Arial" w:eastAsia="Arial"/>
                <w:color w:val="192E43"/>
                <w:sz w:val="17"/>
              </w:rPr>
              <w:t>HB 530 would reduce state road funds before local revenue is available.</w:t>
            </w:r>
          </w:p>
        </w:tc>
        <w:tc>
          <w:tcPr>
            <w:tcW w:type="dxa" w:w="3888"/>
            <w:tcMar>
              <w:top w:w="45" w:type="dxa"/>
              <w:left w:w="80" w:type="dxa"/>
              <w:bottom w:w="45" w:type="dxa"/>
              <w:right w:w="60" w:type="dxa"/>
            </w:tcMar>
            <w:vAlign w:val="top"/>
          </w:tcPr>
          <w:p>
            <w:pPr>
              <w:pStyle w:val="IGCell"/>
              <w:keepNext/>
              <w:spacing w:after="0"/>
            </w:pPr>
            <w:r>
              <w:rPr>
                <w:rFonts w:ascii="Arial" w:hAnsi="Arial" w:cs="Arial" w:eastAsia="Arial"/>
                <w:color w:val="192E43"/>
                <w:sz w:val="17"/>
              </w:rPr>
              <w:t>Position requested from the Deputy County Executive by Apr 9 (ESC-02). The Budget Office estimate is pending.</w:t>
            </w:r>
          </w:p>
        </w:tc>
      </w:tr>
      <w:tr>
        <w:trPr>
          <w:cantSplit w:val="true"/>
        </w:trPr>
        <w:tc>
          <w:tcPr>
            <w:tcW w:type="dxa" w:w="1872"/>
            <w:tcMar>
              <w:top w:w="45" w:type="dxa"/>
              <w:left w:w="80" w:type="dxa"/>
              <w:bottom w:w="45" w:type="dxa"/>
              <w:right w:w="60" w:type="dxa"/>
            </w:tcMar>
            <w:vAlign w:val="top"/>
          </w:tcPr>
          <w:p>
            <w:pPr>
              <w:pStyle w:val="IGCell"/>
              <w:spacing w:after="0"/>
            </w:pPr>
            <w:r>
              <w:rPr>
                <w:rFonts w:ascii="Arial" w:hAnsi="Arial" w:cs="Arial" w:eastAsia="Arial"/>
                <w:b/>
                <w:color w:val="192E43"/>
                <w:sz w:val="17"/>
              </w:rPr>
              <w:t>LEG-01, ADM-06</w:t>
            </w:r>
          </w:p>
        </w:tc>
        <w:tc>
          <w:tcPr>
            <w:tcW w:type="dxa" w:w="3888"/>
            <w:tcMar>
              <w:top w:w="45" w:type="dxa"/>
              <w:left w:w="80" w:type="dxa"/>
              <w:bottom w:w="45" w:type="dxa"/>
              <w:right w:w="60" w:type="dxa"/>
            </w:tcMar>
            <w:vAlign w:val="top"/>
          </w:tcPr>
          <w:p>
            <w:pPr>
              <w:pStyle w:val="IGCell"/>
              <w:spacing w:after="0"/>
            </w:pPr>
            <w:r>
              <w:rPr>
                <w:rFonts w:ascii="Arial" w:hAnsi="Arial" w:cs="Arial" w:eastAsia="Arial"/>
                <w:color w:val="192E43"/>
                <w:sz w:val="17"/>
              </w:rPr>
              <w:t>The Governor's position affects the final action window ending May 28.</w:t>
            </w:r>
          </w:p>
        </w:tc>
        <w:tc>
          <w:tcPr>
            <w:tcW w:type="dxa" w:w="3888"/>
            <w:tcMar>
              <w:top w:w="45" w:type="dxa"/>
              <w:left w:w="80" w:type="dxa"/>
              <w:bottom w:w="45" w:type="dxa"/>
              <w:right w:w="60" w:type="dxa"/>
            </w:tcMar>
            <w:vAlign w:val="top"/>
          </w:tcPr>
          <w:p>
            <w:pPr>
              <w:pStyle w:val="IGCell"/>
              <w:spacing w:after="0"/>
            </w:pPr>
            <w:r>
              <w:rPr>
                <w:rFonts w:ascii="Arial" w:hAnsi="Arial" w:cs="Arial" w:eastAsia="Arial"/>
                <w:color w:val="192E43"/>
                <w:sz w:val="17"/>
              </w:rPr>
              <w:t>Brief Governor's policy staff Apr 22, after the House committee vote on Apr 14.</w:t>
            </w:r>
          </w:p>
        </w:tc>
      </w:tr>
    </w:tbl>
    <w:p>
      <w:pPr>
        <w:spacing w:after="80" w:line="144" w:lineRule="auto"/>
      </w:pPr>
    </w:p>
    <w:p>
      <w:pPr>
        <w:pStyle w:val="IGSmall"/>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Practitioner note.  </w:t>
      </w:r>
      <w:r>
        <w:rPr>
          <w:rFonts w:ascii="Arial" w:hAnsi="Arial" w:cs="Arial" w:eastAsia="Arial"/>
          <w:color w:val="52606D"/>
          <w:sz w:val="17"/>
        </w:rPr>
        <w:t>The second row is the most useful in the plan. Reading the milestones side by side shows a sequencing conflict that no single objective owner would see: the State DOT commitment is scheduled before the agreement it depends on exists. The plan names the conflict and the question to ask, rather than leaving it to surface in August.</w:t>
      </w:r>
    </w:p>
    <w:p>
      <w:pPr>
        <w:pStyle w:val="Heading1"/>
      </w:pPr>
      <w:r>
        <w:t>8. Engagement and Coordination Strategies</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Sets out, for each objective, who must be moved, with what ask, in what sequence, and who speaks. Also records the internal coordination the plan depends on.</w:t>
      </w:r>
    </w:p>
    <w:p>
      <w:pPr>
        <w:pStyle w:val="Heading2"/>
      </w:pPr>
      <w:r>
        <w:t>8.1 Strategy by objective</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792"/>
        <w:gridCol w:w="2880"/>
        <w:gridCol w:w="3384"/>
        <w:gridCol w:w="2592"/>
      </w:tblGrid>
      <w:tr>
        <w:trPr>
          <w:tblHeader w:val="true"/>
          <w:cantSplit w:val="true"/>
        </w:trPr>
        <w:tc>
          <w:tcPr>
            <w:tcW w:type="dxa" w:w="79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Obj.</w:t>
            </w:r>
          </w:p>
        </w:tc>
        <w:tc>
          <w:tcPr>
            <w:tcW w:type="dxa" w:w="2880"/>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Decision-makers and the ask</w:t>
            </w:r>
          </w:p>
        </w:tc>
        <w:tc>
          <w:tcPr>
            <w:tcW w:type="dxa" w:w="3384"/>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Approach and sequence</w:t>
            </w:r>
          </w:p>
        </w:tc>
        <w:tc>
          <w:tcPr>
            <w:tcW w:type="dxa" w:w="259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Allies, competing interests, and who speaks</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OBJ-1</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Senate and House transportation committee members and leadership. Governor's policy staff for the action window.</w:t>
            </w:r>
          </w:p>
          <w:p>
            <w:pPr>
              <w:pStyle w:val="IGCell"/>
              <w:spacing w:after="0" w:before="40"/>
            </w:pPr>
            <w:r>
              <w:rPr>
                <w:rFonts w:ascii="Arial" w:hAnsi="Arial" w:cs="Arial" w:eastAsia="Arial"/>
                <w:color w:val="192E43"/>
                <w:sz w:val="17"/>
              </w:rPr>
              <w:t>Ask: Enact SB 214 with a rate ceiling of at least 0.5 percent and bridge capital eligible. Voters, not the County, decide whether to levy the tax.</w:t>
            </w:r>
          </w:p>
        </w:tc>
        <w:tc>
          <w:tcPr>
            <w:tcW w:type="dxa" w:w="3384"/>
            <w:tcMar>
              <w:top w:w="45" w:type="dxa"/>
              <w:left w:w="80" w:type="dxa"/>
              <w:bottom w:w="45" w:type="dxa"/>
              <w:right w:w="60" w:type="dxa"/>
            </w:tcMar>
            <w:vAlign w:val="top"/>
          </w:tcPr>
          <w:p>
            <w:pPr>
              <w:pStyle w:val="IGCell"/>
              <w:spacing w:after="0"/>
            </w:pPr>
            <w:r>
              <w:rPr>
                <w:rFonts w:ascii="Arial" w:hAnsi="Arial" w:cs="Arial" w:eastAsia="Arial"/>
                <w:color w:val="192E43"/>
                <w:sz w:val="17"/>
              </w:rPr>
              <w:t>Weekly vote count with sponsor staff. Testimony at each committee stage with a commissioner. The Association carries the statewide case and the County carries the bridge case. Watch amendments through the filing deadline. Brief Governor's staff Apr 22.</w:t>
            </w:r>
          </w:p>
        </w:tc>
        <w:tc>
          <w:tcPr>
            <w:tcW w:type="dxa" w:w="2592"/>
            <w:tcMar>
              <w:top w:w="45" w:type="dxa"/>
              <w:left w:w="80" w:type="dxa"/>
              <w:bottom w:w="45" w:type="dxa"/>
              <w:right w:w="60" w:type="dxa"/>
            </w:tcMar>
            <w:vAlign w:val="top"/>
          </w:tcPr>
          <w:p>
            <w:pPr>
              <w:pStyle w:val="IGCell"/>
              <w:spacing w:after="0"/>
            </w:pPr>
            <w:r>
              <w:rPr>
                <w:rFonts w:ascii="Arial" w:hAnsi="Arial" w:cs="Arial" w:eastAsia="Arial"/>
                <w:color w:val="192E43"/>
                <w:sz w:val="17"/>
              </w:rPr>
              <w:t>Ally: Marlow Association of Counties. Competing: Riverton wants a distribution share. The County opposes a mandatory share and will discuss a voluntary one under OBJ-4.</w:t>
            </w:r>
          </w:p>
          <w:p>
            <w:pPr>
              <w:pStyle w:val="IGCell"/>
              <w:spacing w:after="0" w:before="40"/>
            </w:pPr>
            <w:r>
              <w:rPr>
                <w:rFonts w:ascii="Arial" w:hAnsi="Arial" w:cs="Arial" w:eastAsia="Arial"/>
                <w:color w:val="192E43"/>
                <w:sz w:val="17"/>
              </w:rPr>
              <w:t>Speaks: Director for staff. Board Chair or a commissioner for testimony. Position set by the Board platform, briefed Jan 5.</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OBJ-2</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Senate committee members and the bill sponsor. State permitting agency program staff.</w:t>
            </w:r>
          </w:p>
          <w:p>
            <w:pPr>
              <w:pStyle w:val="IGCell"/>
              <w:spacing w:after="0" w:before="40"/>
            </w:pPr>
            <w:r>
              <w:rPr>
                <w:rFonts w:ascii="Arial" w:hAnsi="Arial" w:cs="Arial" w:eastAsia="Arial"/>
                <w:color w:val="192E43"/>
                <w:sz w:val="17"/>
              </w:rPr>
              <w:t>Ask: Keep opt-out language in HB 388 so counties may apply stricter local standards than the state floor.</w:t>
            </w:r>
          </w:p>
        </w:tc>
        <w:tc>
          <w:tcPr>
            <w:tcW w:type="dxa" w:w="3384"/>
            <w:tcMar>
              <w:top w:w="45" w:type="dxa"/>
              <w:left w:w="80" w:type="dxa"/>
              <w:bottom w:w="45" w:type="dxa"/>
              <w:right w:w="60" w:type="dxa"/>
            </w:tcMar>
            <w:vAlign w:val="top"/>
          </w:tcPr>
          <w:p>
            <w:pPr>
              <w:pStyle w:val="IGCell"/>
              <w:spacing w:after="0"/>
            </w:pPr>
            <w:r>
              <w:rPr>
                <w:rFonts w:ascii="Arial" w:hAnsi="Arial" w:cs="Arial" w:eastAsia="Arial"/>
                <w:color w:val="192E43"/>
                <w:sz w:val="17"/>
              </w:rPr>
              <w:t>Support the Association's amendment language. Give Senate staff local examples before the Apr 16 committee action. File parallel comments on the permit rule by May 7.</w:t>
            </w:r>
          </w:p>
        </w:tc>
        <w:tc>
          <w:tcPr>
            <w:tcW w:type="dxa" w:w="2592"/>
            <w:tcMar>
              <w:top w:w="45" w:type="dxa"/>
              <w:left w:w="80" w:type="dxa"/>
              <w:bottom w:w="45" w:type="dxa"/>
              <w:right w:w="60" w:type="dxa"/>
            </w:tcMar>
            <w:vAlign w:val="top"/>
          </w:tcPr>
          <w:p>
            <w:pPr>
              <w:pStyle w:val="IGCell"/>
              <w:spacing w:after="0"/>
            </w:pPr>
            <w:r>
              <w:rPr>
                <w:rFonts w:ascii="Arial" w:hAnsi="Arial" w:cs="Arial" w:eastAsia="Arial"/>
                <w:color w:val="192E43"/>
                <w:sz w:val="17"/>
              </w:rPr>
              <w:t>Ally: Association of Counties. Competing: the sponsor intends to seek removal of the opt-out.</w:t>
            </w:r>
          </w:p>
          <w:p>
            <w:pPr>
              <w:pStyle w:val="IGCell"/>
              <w:spacing w:after="0" w:before="40"/>
            </w:pPr>
            <w:r>
              <w:rPr>
                <w:rFonts w:ascii="Arial" w:hAnsi="Arial" w:cs="Arial" w:eastAsia="Arial"/>
                <w:color w:val="192E43"/>
                <w:sz w:val="17"/>
              </w:rPr>
              <w:t>Speaks: Senior Legislative Analyst. Assistant County Attorney reviews legal statements.</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OBJ-3</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Federal regional office program staff. Congressional district office. State DOT local programs staff. Harlan County.</w:t>
            </w:r>
          </w:p>
          <w:p>
            <w:pPr>
              <w:pStyle w:val="IGCell"/>
              <w:spacing w:after="0" w:before="40"/>
            </w:pPr>
            <w:r>
              <w:rPr>
                <w:rFonts w:ascii="Arial" w:hAnsi="Arial" w:cs="Arial" w:eastAsia="Arial"/>
                <w:color w:val="192E43"/>
                <w:sz w:val="17"/>
              </w:rPr>
              <w:t>Ask: Position a competitive application with written match commitments. Coordinate rather than compete with Harlan County where possible.</w:t>
            </w:r>
          </w:p>
        </w:tc>
        <w:tc>
          <w:tcPr>
            <w:tcW w:type="dxa" w:w="3384"/>
            <w:tcMar>
              <w:top w:w="45" w:type="dxa"/>
              <w:left w:w="80" w:type="dxa"/>
              <w:bottom w:w="45" w:type="dxa"/>
              <w:right w:w="60" w:type="dxa"/>
            </w:tcMar>
            <w:vAlign w:val="top"/>
          </w:tcPr>
          <w:p>
            <w:pPr>
              <w:pStyle w:val="IGCell"/>
              <w:spacing w:after="0"/>
            </w:pPr>
            <w:r>
              <w:rPr>
                <w:rFonts w:ascii="Arial" w:hAnsi="Arial" w:cs="Arial" w:eastAsia="Arial"/>
                <w:color w:val="192E43"/>
                <w:sz w:val="17"/>
              </w:rPr>
              <w:t>Pre-application meeting held Mar 24. Written questions to the regional office. Delegation letter request moved to May 14 to follow Harlan coordination. Formal match request to State DOT once the form of commitment is confirmed.</w:t>
            </w:r>
          </w:p>
        </w:tc>
        <w:tc>
          <w:tcPr>
            <w:tcW w:type="dxa" w:w="2592"/>
            <w:tcMar>
              <w:top w:w="45" w:type="dxa"/>
              <w:left w:w="80" w:type="dxa"/>
              <w:bottom w:w="45" w:type="dxa"/>
              <w:right w:w="60" w:type="dxa"/>
            </w:tcMar>
            <w:vAlign w:val="top"/>
          </w:tcPr>
          <w:p>
            <w:pPr>
              <w:pStyle w:val="IGCell"/>
              <w:spacing w:after="0"/>
            </w:pPr>
            <w:r>
              <w:rPr>
                <w:rFonts w:ascii="Arial" w:hAnsi="Arial" w:cs="Arial" w:eastAsia="Arial"/>
                <w:color w:val="192E43"/>
                <w:sz w:val="17"/>
              </w:rPr>
              <w:t>Ally: congressional district office. Competing: Harlan County request in the same round.</w:t>
            </w:r>
          </w:p>
          <w:p>
            <w:pPr>
              <w:pStyle w:val="IGCell"/>
              <w:spacing w:after="0" w:before="40"/>
            </w:pPr>
            <w:r>
              <w:rPr>
                <w:rFonts w:ascii="Arial" w:hAnsi="Arial" w:cs="Arial" w:eastAsia="Arial"/>
                <w:color w:val="192E43"/>
                <w:sz w:val="17"/>
              </w:rPr>
              <w:t>Speaks: Federal Programs Liaison with Public Works. Congressional contact cleared by the Director.</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OBJ-4</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Riverton City manager and council. Transit Authority director and board. Partner counsels.</w:t>
            </w:r>
          </w:p>
          <w:p>
            <w:pPr>
              <w:pStyle w:val="IGCell"/>
              <w:spacing w:after="0" w:before="40"/>
            </w:pPr>
            <w:r>
              <w:rPr>
                <w:rFonts w:ascii="Arial" w:hAnsi="Arial" w:cs="Arial" w:eastAsia="Arial"/>
                <w:color w:val="192E43"/>
                <w:sz w:val="17"/>
              </w:rPr>
              <w:t>Ask: Agree a cost allocation and term sheet by May 14, then an agreement approved by all three governing bodies by Aug 17.</w:t>
            </w:r>
          </w:p>
        </w:tc>
        <w:tc>
          <w:tcPr>
            <w:tcW w:type="dxa" w:w="3384"/>
            <w:tcMar>
              <w:top w:w="45" w:type="dxa"/>
              <w:left w:w="80" w:type="dxa"/>
              <w:bottom w:w="45" w:type="dxa"/>
              <w:right w:w="60" w:type="dxa"/>
            </w:tcMar>
            <w:vAlign w:val="top"/>
          </w:tcPr>
          <w:p>
            <w:pPr>
              <w:pStyle w:val="IGCell"/>
              <w:spacing w:after="0"/>
            </w:pPr>
            <w:r>
              <w:rPr>
                <w:rFonts w:ascii="Arial" w:hAnsi="Arial" w:cs="Arial" w:eastAsia="Arial"/>
                <w:color w:val="192E43"/>
                <w:sz w:val="17"/>
              </w:rPr>
              <w:t>County proposal delivered Apr 1 within the authorized range. Riverton response due Apr 15. Draft agreement to counsels Jun 11. Brief each governing body one cycle before its vote.</w:t>
            </w:r>
          </w:p>
        </w:tc>
        <w:tc>
          <w:tcPr>
            <w:tcW w:type="dxa" w:w="2592"/>
            <w:tcMar>
              <w:top w:w="45" w:type="dxa"/>
              <w:left w:w="80" w:type="dxa"/>
              <w:bottom w:w="45" w:type="dxa"/>
              <w:right w:w="60" w:type="dxa"/>
            </w:tcMar>
            <w:vAlign w:val="top"/>
          </w:tcPr>
          <w:p>
            <w:pPr>
              <w:pStyle w:val="IGCell"/>
              <w:spacing w:after="0"/>
            </w:pPr>
            <w:r>
              <w:rPr>
                <w:rFonts w:ascii="Arial" w:hAnsi="Arial" w:cs="Arial" w:eastAsia="Arial"/>
                <w:color w:val="192E43"/>
                <w:sz w:val="17"/>
              </w:rPr>
              <w:t>Ally: Transit Authority. Competing: Riverton on cost share.</w:t>
            </w:r>
          </w:p>
          <w:p>
            <w:pPr>
              <w:pStyle w:val="IGCell"/>
              <w:spacing w:after="0" w:before="40"/>
            </w:pPr>
            <w:r>
              <w:rPr>
                <w:rFonts w:ascii="Arial" w:hAnsi="Arial" w:cs="Arial" w:eastAsia="Arial"/>
                <w:color w:val="192E43"/>
                <w:sz w:val="17"/>
              </w:rPr>
              <w:t>Speaks: Regional Coordination Manager, within the range authorized by the Executive Sponsor.</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OBJ-5</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Three Fords Tribal Chairperson's office. Cultural Resources Department. Federal lead agency.</w:t>
            </w:r>
          </w:p>
          <w:p>
            <w:pPr>
              <w:pStyle w:val="IGCell"/>
              <w:spacing w:after="0" w:before="40"/>
            </w:pPr>
            <w:r>
              <w:rPr>
                <w:rFonts w:ascii="Arial" w:hAnsi="Arial" w:cs="Arial" w:eastAsia="Arial"/>
                <w:color w:val="192E43"/>
                <w:sz w:val="17"/>
              </w:rPr>
              <w:t>Ask: Agree a standing coordination protocol and hold two leader-level meetings. Document the Nation's concerns with the federal lead agency by Jul 16.</w:t>
            </w:r>
          </w:p>
        </w:tc>
        <w:tc>
          <w:tcPr>
            <w:tcW w:type="dxa" w:w="3384"/>
            <w:tcMar>
              <w:top w:w="45" w:type="dxa"/>
              <w:left w:w="80" w:type="dxa"/>
              <w:bottom w:w="45" w:type="dxa"/>
              <w:right w:w="60" w:type="dxa"/>
            </w:tcMar>
            <w:vAlign w:val="top"/>
          </w:tcPr>
          <w:p>
            <w:pPr>
              <w:pStyle w:val="IGCell"/>
              <w:spacing w:after="0"/>
            </w:pPr>
            <w:r>
              <w:rPr>
                <w:rFonts w:ascii="Arial" w:hAnsi="Arial" w:cs="Arial" w:eastAsia="Arial"/>
                <w:color w:val="192E43"/>
                <w:sz w:val="17"/>
              </w:rPr>
              <w:t>Interim staff-level exchange of corridor information. Written invitation from the County Executive. First leader-level meeting targeted May 21.</w:t>
            </w:r>
          </w:p>
        </w:tc>
        <w:tc>
          <w:tcPr>
            <w:tcW w:type="dxa" w:w="2592"/>
            <w:tcMar>
              <w:top w:w="45" w:type="dxa"/>
              <w:left w:w="80" w:type="dxa"/>
              <w:bottom w:w="45" w:type="dxa"/>
              <w:right w:w="60" w:type="dxa"/>
            </w:tcMar>
            <w:vAlign w:val="top"/>
          </w:tcPr>
          <w:p>
            <w:pPr>
              <w:pStyle w:val="IGCell"/>
              <w:spacing w:after="0"/>
            </w:pPr>
            <w:r>
              <w:rPr>
                <w:rFonts w:ascii="Arial" w:hAnsi="Arial" w:cs="Arial" w:eastAsia="Arial"/>
                <w:color w:val="192E43"/>
                <w:sz w:val="17"/>
              </w:rPr>
              <w:t>No history of formal coordination. Posture unknown. Interests to be learned, not assumed.</w:t>
            </w:r>
          </w:p>
          <w:p>
            <w:pPr>
              <w:pStyle w:val="IGCell"/>
              <w:spacing w:after="0" w:before="40"/>
            </w:pPr>
            <w:r>
              <w:rPr>
                <w:rFonts w:ascii="Arial" w:hAnsi="Arial" w:cs="Arial" w:eastAsia="Arial"/>
                <w:color w:val="192E43"/>
                <w:sz w:val="17"/>
              </w:rPr>
              <w:t>Speaks: Director. County Executive for leader-level contact.</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7"/>
              </w:rPr>
              <w:t>OBJ-6</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7"/>
              </w:rPr>
              <w:t>County Executive. Deputy County Executive. Board of Commissioners.</w:t>
            </w:r>
          </w:p>
          <w:p>
            <w:pPr>
              <w:pStyle w:val="IGCell"/>
              <w:spacing w:after="0" w:before="40"/>
            </w:pPr>
            <w:r>
              <w:rPr>
                <w:rFonts w:ascii="Arial" w:hAnsi="Arial" w:cs="Arial" w:eastAsia="Arial"/>
                <w:color w:val="192E43"/>
                <w:sz w:val="17"/>
              </w:rPr>
              <w:t>Ask: Adopt one clearance protocol and deliver three quarterly reports on time.</w:t>
            </w:r>
          </w:p>
        </w:tc>
        <w:tc>
          <w:tcPr>
            <w:tcW w:type="dxa" w:w="3384"/>
            <w:tcMar>
              <w:top w:w="45" w:type="dxa"/>
              <w:left w:w="80" w:type="dxa"/>
              <w:bottom w:w="45" w:type="dxa"/>
              <w:right w:w="60" w:type="dxa"/>
            </w:tcMar>
            <w:vAlign w:val="top"/>
          </w:tcPr>
          <w:p>
            <w:pPr>
              <w:pStyle w:val="IGCell"/>
              <w:spacing w:after="0"/>
            </w:pPr>
            <w:r>
              <w:rPr>
                <w:rFonts w:ascii="Arial" w:hAnsi="Arial" w:cs="Arial" w:eastAsia="Arial"/>
                <w:color w:val="192E43"/>
                <w:sz w:val="17"/>
              </w:rPr>
              <w:t>Weekly one-page decision list to the Deputy County Executive. Quarterly report to the County Executive and Board.</w:t>
            </w:r>
          </w:p>
        </w:tc>
        <w:tc>
          <w:tcPr>
            <w:tcW w:type="dxa" w:w="2592"/>
            <w:tcMar>
              <w:top w:w="45" w:type="dxa"/>
              <w:left w:w="80" w:type="dxa"/>
              <w:bottom w:w="45" w:type="dxa"/>
              <w:right w:w="60" w:type="dxa"/>
            </w:tcMar>
            <w:vAlign w:val="top"/>
          </w:tcPr>
          <w:p>
            <w:pPr>
              <w:pStyle w:val="IGCell"/>
              <w:spacing w:after="0"/>
            </w:pPr>
            <w:r>
              <w:rPr>
                <w:rFonts w:ascii="Arial" w:hAnsi="Arial" w:cs="Arial" w:eastAsia="Arial"/>
                <w:color w:val="192E43"/>
                <w:sz w:val="17"/>
              </w:rPr>
              <w:t>Ally: County Attorney's office.</w:t>
            </w:r>
          </w:p>
          <w:p>
            <w:pPr>
              <w:pStyle w:val="IGCell"/>
              <w:spacing w:after="0" w:before="40"/>
            </w:pPr>
            <w:r>
              <w:rPr>
                <w:rFonts w:ascii="Arial" w:hAnsi="Arial" w:cs="Arial" w:eastAsia="Arial"/>
                <w:color w:val="192E43"/>
                <w:sz w:val="17"/>
              </w:rPr>
              <w:t>Speaks: Director.</w:t>
            </w:r>
          </w:p>
        </w:tc>
      </w:tr>
    </w:tbl>
    <w:p>
      <w:pPr>
        <w:spacing w:after="80" w:line="144" w:lineRule="auto"/>
      </w:pPr>
    </w:p>
    <w:p>
      <w:pPr>
        <w:pStyle w:val="Heading2"/>
      </w:pPr>
      <w:r>
        <w:t>8.2 Internal coordination</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3311"/>
        <w:gridCol w:w="2592"/>
        <w:gridCol w:w="1584"/>
      </w:tblGrid>
      <w:tr>
        <w:trPr>
          <w:tblHeader w:val="true"/>
          <w:cantSplit w:val="true"/>
        </w:trPr>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Partner</w:t>
            </w:r>
          </w:p>
        </w:tc>
        <w:tc>
          <w:tcPr>
            <w:tcW w:type="dxa" w:w="331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What the plan needs from them</w:t>
            </w:r>
          </w:p>
        </w:tc>
        <w:tc>
          <w:tcPr>
            <w:tcW w:type="dxa" w:w="259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Mechanism and cadence</w:t>
            </w:r>
          </w:p>
        </w:tc>
        <w:tc>
          <w:tcPr>
            <w:tcW w:type="dxa" w:w="158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Our owner</w:t>
            </w:r>
          </w:p>
        </w:tc>
      </w:tr>
      <w:tr>
        <w:trPr>
          <w:cantSplit w:val="true"/>
        </w:trPr>
        <w:tc>
          <w:tcPr>
            <w:tcW w:type="dxa" w:w="216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Public Works</w:t>
            </w:r>
          </w:p>
        </w:tc>
        <w:tc>
          <w:tcPr>
            <w:tcW w:type="dxa" w:w="3312"/>
            <w:tcMar>
              <w:top w:w="45" w:type="dxa"/>
              <w:left w:w="80" w:type="dxa"/>
              <w:bottom w:w="45" w:type="dxa"/>
              <w:right w:w="60" w:type="dxa"/>
            </w:tcMar>
            <w:vAlign w:val="top"/>
          </w:tcPr>
          <w:p>
            <w:pPr>
              <w:pStyle w:val="IGCell"/>
              <w:keepNext/>
              <w:spacing w:after="0"/>
            </w:pPr>
            <w:r>
              <w:rPr>
                <w:rFonts w:ascii="Arial" w:hAnsi="Arial" w:cs="Arial" w:eastAsia="Arial"/>
                <w:color w:val="192E43"/>
                <w:sz w:val="17"/>
              </w:rPr>
              <w:t>Technical narrative, cost estimates, and schedule for the federal application.</w:t>
            </w:r>
          </w:p>
        </w:tc>
        <w:tc>
          <w:tcPr>
            <w:tcW w:type="dxa" w:w="2592"/>
            <w:tcMar>
              <w:top w:w="45" w:type="dxa"/>
              <w:left w:w="80" w:type="dxa"/>
              <w:bottom w:w="45" w:type="dxa"/>
              <w:right w:w="60" w:type="dxa"/>
            </w:tcMar>
            <w:vAlign w:val="top"/>
          </w:tcPr>
          <w:p>
            <w:pPr>
              <w:pStyle w:val="IGCell"/>
              <w:keepNext/>
              <w:spacing w:after="0"/>
            </w:pPr>
            <w:r>
              <w:rPr>
                <w:rFonts w:ascii="Arial" w:hAnsi="Arial" w:cs="Arial" w:eastAsia="Arial"/>
                <w:color w:val="192E43"/>
                <w:sz w:val="17"/>
              </w:rPr>
              <w:t>Weekly bridge working group.</w:t>
            </w:r>
          </w:p>
        </w:tc>
        <w:tc>
          <w:tcPr>
            <w:tcW w:type="dxa" w:w="1584"/>
            <w:tcMar>
              <w:top w:w="45" w:type="dxa"/>
              <w:left w:w="80" w:type="dxa"/>
              <w:bottom w:w="45" w:type="dxa"/>
              <w:right w:w="60" w:type="dxa"/>
            </w:tcMar>
            <w:vAlign w:val="top"/>
          </w:tcPr>
          <w:p>
            <w:pPr>
              <w:pStyle w:val="IGCell"/>
              <w:keepNext/>
              <w:spacing w:after="0"/>
            </w:pPr>
            <w:r>
              <w:rPr>
                <w:rFonts w:ascii="Arial" w:hAnsi="Arial" w:cs="Arial" w:eastAsia="Arial"/>
                <w:color w:val="192E43"/>
                <w:sz w:val="17"/>
              </w:rPr>
              <w:t>Samuel Ortega</w:t>
            </w:r>
          </w:p>
        </w:tc>
      </w:tr>
      <w:tr>
        <w:trPr>
          <w:cantSplit w:val="true"/>
        </w:trPr>
        <w:tc>
          <w:tcPr>
            <w:tcW w:type="dxa" w:w="216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Budget Office</w:t>
            </w:r>
          </w:p>
        </w:tc>
        <w:tc>
          <w:tcPr>
            <w:tcW w:type="dxa" w:w="3312"/>
            <w:tcMar>
              <w:top w:w="45" w:type="dxa"/>
              <w:left w:w="80" w:type="dxa"/>
              <w:bottom w:w="45" w:type="dxa"/>
              <w:right w:w="60" w:type="dxa"/>
            </w:tcMar>
            <w:vAlign w:val="top"/>
          </w:tcPr>
          <w:p>
            <w:pPr>
              <w:pStyle w:val="IGCell"/>
              <w:keepNext/>
              <w:spacing w:after="0"/>
            </w:pPr>
            <w:r>
              <w:rPr>
                <w:rFonts w:ascii="Arial" w:hAnsi="Arial" w:cs="Arial" w:eastAsia="Arial"/>
                <w:color w:val="192E43"/>
                <w:sz w:val="17"/>
              </w:rPr>
              <w:t>Match scenarios if SB 214 fails. Impact estimate for HB 530.</w:t>
            </w:r>
          </w:p>
        </w:tc>
        <w:tc>
          <w:tcPr>
            <w:tcW w:type="dxa" w:w="2592"/>
            <w:tcMar>
              <w:top w:w="45" w:type="dxa"/>
              <w:left w:w="80" w:type="dxa"/>
              <w:bottom w:w="45" w:type="dxa"/>
              <w:right w:w="60" w:type="dxa"/>
            </w:tcMar>
            <w:vAlign w:val="top"/>
          </w:tcPr>
          <w:p>
            <w:pPr>
              <w:pStyle w:val="IGCell"/>
              <w:keepNext/>
              <w:spacing w:after="0"/>
            </w:pPr>
            <w:r>
              <w:rPr>
                <w:rFonts w:ascii="Arial" w:hAnsi="Arial" w:cs="Arial" w:eastAsia="Arial"/>
                <w:color w:val="192E43"/>
                <w:sz w:val="17"/>
              </w:rPr>
              <w:t>Requests logged as escalations. Estimate due before Apr 9.</w:t>
            </w:r>
          </w:p>
        </w:tc>
        <w:tc>
          <w:tcPr>
            <w:tcW w:type="dxa" w:w="1584"/>
            <w:tcMar>
              <w:top w:w="45" w:type="dxa"/>
              <w:left w:w="80" w:type="dxa"/>
              <w:bottom w:w="45" w:type="dxa"/>
              <w:right w:w="60" w:type="dxa"/>
            </w:tcMar>
            <w:vAlign w:val="top"/>
          </w:tcPr>
          <w:p>
            <w:pPr>
              <w:pStyle w:val="IGCell"/>
              <w:keepNext/>
              <w:spacing w:after="0"/>
            </w:pPr>
            <w:r>
              <w:rPr>
                <w:rFonts w:ascii="Arial" w:hAnsi="Arial" w:cs="Arial" w:eastAsia="Arial"/>
                <w:color w:val="192E43"/>
                <w:sz w:val="17"/>
              </w:rPr>
              <w:t>Jordan Pike, Samuel Ortega</w:t>
            </w:r>
          </w:p>
        </w:tc>
      </w:tr>
      <w:tr>
        <w:trPr>
          <w:cantSplit w:val="true"/>
        </w:trPr>
        <w:tc>
          <w:tcPr>
            <w:tcW w:type="dxa" w:w="216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County Attorney</w:t>
            </w:r>
          </w:p>
        </w:tc>
        <w:tc>
          <w:tcPr>
            <w:tcW w:type="dxa" w:w="3312"/>
            <w:tcMar>
              <w:top w:w="45" w:type="dxa"/>
              <w:left w:w="80" w:type="dxa"/>
              <w:bottom w:w="45" w:type="dxa"/>
              <w:right w:w="60" w:type="dxa"/>
            </w:tcMar>
            <w:vAlign w:val="top"/>
          </w:tcPr>
          <w:p>
            <w:pPr>
              <w:pStyle w:val="IGCell"/>
              <w:keepNext/>
              <w:spacing w:after="0"/>
            </w:pPr>
            <w:r>
              <w:rPr>
                <w:rFonts w:ascii="Arial" w:hAnsi="Arial" w:cs="Arial" w:eastAsia="Arial"/>
                <w:color w:val="192E43"/>
                <w:sz w:val="17"/>
              </w:rPr>
              <w:t>Legal review of positions and testimony. Drafting of the interlocal agreement.</w:t>
            </w:r>
          </w:p>
        </w:tc>
        <w:tc>
          <w:tcPr>
            <w:tcW w:type="dxa" w:w="2592"/>
            <w:tcMar>
              <w:top w:w="45" w:type="dxa"/>
              <w:left w:w="80" w:type="dxa"/>
              <w:bottom w:w="45" w:type="dxa"/>
              <w:right w:w="60" w:type="dxa"/>
            </w:tcMar>
            <w:vAlign w:val="top"/>
          </w:tcPr>
          <w:p>
            <w:pPr>
              <w:pStyle w:val="IGCell"/>
              <w:keepNext/>
              <w:spacing w:after="0"/>
            </w:pPr>
            <w:r>
              <w:rPr>
                <w:rFonts w:ascii="Arial" w:hAnsi="Arial" w:cs="Arial" w:eastAsia="Arial"/>
                <w:color w:val="192E43"/>
                <w:sz w:val="17"/>
              </w:rPr>
              <w:t>Position clearance within 48 hours in session.</w:t>
            </w:r>
          </w:p>
        </w:tc>
        <w:tc>
          <w:tcPr>
            <w:tcW w:type="dxa" w:w="1584"/>
            <w:tcMar>
              <w:top w:w="45" w:type="dxa"/>
              <w:left w:w="80" w:type="dxa"/>
              <w:bottom w:w="45" w:type="dxa"/>
              <w:right w:w="60" w:type="dxa"/>
            </w:tcMar>
            <w:vAlign w:val="top"/>
          </w:tcPr>
          <w:p>
            <w:pPr>
              <w:pStyle w:val="IGCell"/>
              <w:keepNext/>
              <w:spacing w:after="0"/>
            </w:pPr>
            <w:r>
              <w:rPr>
                <w:rFonts w:ascii="Arial" w:hAnsi="Arial" w:cs="Arial" w:eastAsia="Arial"/>
                <w:color w:val="192E43"/>
                <w:sz w:val="17"/>
              </w:rPr>
              <w:t>Elena Marsh</w:t>
            </w:r>
          </w:p>
        </w:tc>
      </w:tr>
      <w:tr>
        <w:trPr>
          <w:cantSplit w:val="true"/>
        </w:trPr>
        <w:tc>
          <w:tcPr>
            <w:tcW w:type="dxa" w:w="216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Board Chair's office</w:t>
            </w:r>
          </w:p>
        </w:tc>
        <w:tc>
          <w:tcPr>
            <w:tcW w:type="dxa" w:w="3312"/>
            <w:tcMar>
              <w:top w:w="45" w:type="dxa"/>
              <w:left w:w="80" w:type="dxa"/>
              <w:bottom w:w="45" w:type="dxa"/>
              <w:right w:w="60" w:type="dxa"/>
            </w:tcMar>
            <w:vAlign w:val="top"/>
          </w:tcPr>
          <w:p>
            <w:pPr>
              <w:pStyle w:val="IGCell"/>
              <w:keepNext/>
              <w:spacing w:after="0"/>
            </w:pPr>
            <w:r>
              <w:rPr>
                <w:rFonts w:ascii="Arial" w:hAnsi="Arial" w:cs="Arial" w:eastAsia="Arial"/>
                <w:color w:val="192E43"/>
                <w:sz w:val="17"/>
              </w:rPr>
              <w:t>Commissioner testimony and consistent use of cleared language.</w:t>
            </w:r>
          </w:p>
        </w:tc>
        <w:tc>
          <w:tcPr>
            <w:tcW w:type="dxa" w:w="2592"/>
            <w:tcMar>
              <w:top w:w="45" w:type="dxa"/>
              <w:left w:w="80" w:type="dxa"/>
              <w:bottom w:w="45" w:type="dxa"/>
              <w:right w:w="60" w:type="dxa"/>
            </w:tcMar>
            <w:vAlign w:val="top"/>
          </w:tcPr>
          <w:p>
            <w:pPr>
              <w:pStyle w:val="IGCell"/>
              <w:keepNext/>
              <w:spacing w:after="0"/>
            </w:pPr>
            <w:r>
              <w:rPr>
                <w:rFonts w:ascii="Arial" w:hAnsi="Arial" w:cs="Arial" w:eastAsia="Arial"/>
                <w:color w:val="192E43"/>
                <w:sz w:val="17"/>
              </w:rPr>
              <w:t>Biweekly session briefing.</w:t>
            </w:r>
          </w:p>
        </w:tc>
        <w:tc>
          <w:tcPr>
            <w:tcW w:type="dxa" w:w="1584"/>
            <w:tcMar>
              <w:top w:w="45" w:type="dxa"/>
              <w:left w:w="80" w:type="dxa"/>
              <w:bottom w:w="45" w:type="dxa"/>
              <w:right w:w="60" w:type="dxa"/>
            </w:tcMar>
            <w:vAlign w:val="top"/>
          </w:tcPr>
          <w:p>
            <w:pPr>
              <w:pStyle w:val="IGCell"/>
              <w:keepNext/>
              <w:spacing w:after="0"/>
            </w:pPr>
            <w:r>
              <w:rPr>
                <w:rFonts w:ascii="Arial" w:hAnsi="Arial" w:cs="Arial" w:eastAsia="Arial"/>
                <w:color w:val="192E43"/>
                <w:sz w:val="17"/>
              </w:rPr>
              <w:t>Elena Marsh</w:t>
            </w:r>
          </w:p>
        </w:tc>
      </w:tr>
      <w:tr>
        <w:trPr>
          <w:cantSplit w:val="true"/>
        </w:trPr>
        <w:tc>
          <w:tcPr>
            <w:tcW w:type="dxa" w:w="2160"/>
            <w:tcMar>
              <w:top w:w="45" w:type="dxa"/>
              <w:left w:w="80" w:type="dxa"/>
              <w:bottom w:w="45" w:type="dxa"/>
              <w:right w:w="60" w:type="dxa"/>
            </w:tcMar>
            <w:vAlign w:val="top"/>
          </w:tcPr>
          <w:p>
            <w:pPr>
              <w:pStyle w:val="IGCell"/>
              <w:spacing w:after="0"/>
            </w:pPr>
            <w:r>
              <w:rPr>
                <w:rFonts w:ascii="Arial" w:hAnsi="Arial" w:cs="Arial" w:eastAsia="Arial"/>
                <w:b/>
                <w:color w:val="192E43"/>
                <w:sz w:val="17"/>
              </w:rPr>
              <w:t>Communications Office</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7"/>
              </w:rPr>
              <w:t>Public statements that match cleared positions.</w:t>
            </w:r>
          </w:p>
        </w:tc>
        <w:tc>
          <w:tcPr>
            <w:tcW w:type="dxa" w:w="2592"/>
            <w:tcMar>
              <w:top w:w="45" w:type="dxa"/>
              <w:left w:w="80" w:type="dxa"/>
              <w:bottom w:w="45" w:type="dxa"/>
              <w:right w:w="60" w:type="dxa"/>
            </w:tcMar>
            <w:vAlign w:val="top"/>
          </w:tcPr>
          <w:p>
            <w:pPr>
              <w:pStyle w:val="IGCell"/>
              <w:spacing w:after="0"/>
            </w:pPr>
            <w:r>
              <w:rPr>
                <w:rFonts w:ascii="Arial" w:hAnsi="Arial" w:cs="Arial" w:eastAsia="Arial"/>
                <w:color w:val="192E43"/>
                <w:sz w:val="17"/>
              </w:rPr>
              <w:t>Cleared language sent before statements.</w:t>
            </w:r>
          </w:p>
        </w:tc>
        <w:tc>
          <w:tcPr>
            <w:tcW w:type="dxa" w:w="1584"/>
            <w:tcMar>
              <w:top w:w="45" w:type="dxa"/>
              <w:left w:w="80" w:type="dxa"/>
              <w:bottom w:w="45" w:type="dxa"/>
              <w:right w:w="60" w:type="dxa"/>
            </w:tcMar>
            <w:vAlign w:val="top"/>
          </w:tcPr>
          <w:p>
            <w:pPr>
              <w:pStyle w:val="IGCell"/>
              <w:spacing w:after="0"/>
            </w:pPr>
            <w:r>
              <w:rPr>
                <w:rFonts w:ascii="Arial" w:hAnsi="Arial" w:cs="Arial" w:eastAsia="Arial"/>
                <w:color w:val="192E43"/>
                <w:sz w:val="17"/>
              </w:rPr>
              <w:t>Elena Marsh</w:t>
            </w:r>
          </w:p>
        </w:tc>
      </w:tr>
    </w:tbl>
    <w:p>
      <w:pPr>
        <w:spacing w:after="80" w:line="144" w:lineRule="auto"/>
      </w:pPr>
    </w:p>
    <w:p>
      <w:pPr>
        <w:pStyle w:val="Heading1"/>
      </w:pPr>
      <w:r>
        <w:t>9. Annual Implementation Plan</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Shows leadership the dates that matter, how the year is paced, and who carries the work. Every milestone, dependency, and revised date is kept in the tracker.</w:t>
      </w:r>
    </w:p>
    <w:p>
      <w:pPr>
        <w:pStyle w:val="Heading2"/>
      </w:pPr>
      <w:r>
        <w:t>9.1 Executive milestones</w:t>
      </w:r>
    </w:p>
    <w:p>
      <w:pPr>
        <w:pStyle w:val="IGSmall"/>
        <w:keepNext/>
      </w:pPr>
      <w:r>
        <w:rPr>
          <w:rFonts w:ascii="Arial" w:hAnsi="Arial" w:cs="Arial" w:eastAsia="Arial"/>
        </w:rPr>
        <w:t>20 of the 36 milestones in the tracker: fixed external dates, decision points, the final milestone of each objective, and three that carry the sequencing risk.</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864"/>
        <w:gridCol w:w="3311"/>
        <w:gridCol w:w="792"/>
        <w:gridCol w:w="1296"/>
        <w:gridCol w:w="1152"/>
        <w:gridCol w:w="1224"/>
        <w:gridCol w:w="1007"/>
      </w:tblGrid>
      <w:tr>
        <w:trPr>
          <w:tblHeader w:val="true"/>
          <w:cantSplit w:val="true"/>
        </w:trPr>
        <w:tc>
          <w:tcPr>
            <w:tcW w:type="dxa" w:w="864"/>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ID</w:t>
            </w:r>
          </w:p>
        </w:tc>
        <w:tc>
          <w:tcPr>
            <w:tcW w:type="dxa" w:w="331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Milestone</w:t>
            </w:r>
          </w:p>
        </w:tc>
        <w:tc>
          <w:tcPr>
            <w:tcW w:type="dxa" w:w="79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Obj.</w:t>
            </w:r>
          </w:p>
        </w:tc>
        <w:tc>
          <w:tcPr>
            <w:tcW w:type="dxa" w:w="1296"/>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Type</w:t>
            </w:r>
          </w:p>
        </w:tc>
        <w:tc>
          <w:tcPr>
            <w:tcW w:type="dxa" w:w="115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Owner</w:t>
            </w:r>
          </w:p>
        </w:tc>
        <w:tc>
          <w:tcPr>
            <w:tcW w:type="dxa" w:w="1224"/>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Due</w:t>
            </w:r>
          </w:p>
        </w:tc>
        <w:tc>
          <w:tcPr>
            <w:tcW w:type="dxa" w:w="1008"/>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Status</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MS-002</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County Executive approves position-clearance protocol</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OBJ-6</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Decision Point</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Elena Marsh</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Jan 22, 2027</w:t>
            </w:r>
          </w:p>
          <w:p>
            <w:pPr>
              <w:pStyle w:val="IGCell"/>
              <w:spacing w:after="0" w:before="40"/>
            </w:pPr>
            <w:r>
              <w:rPr>
                <w:rFonts w:ascii="Arial" w:hAnsi="Arial" w:cs="Arial" w:eastAsia="Arial"/>
                <w:color w:val="192E43"/>
                <w:sz w:val="16"/>
              </w:rPr>
              <w:t>Done Jan 29, 2027, 7 days late</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Complete</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MS-009</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SB 214 filed</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OBJ-1</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Fixed External Date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Jordan Pike</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Feb 5,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Complete</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MS-020</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County Executive go decision on federal application</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OBJ-3</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Decision Point</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Samuel Ortega</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Feb 26,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Complete</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MS-018</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Opt-out amendment adopted in House committee</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OBJ-2</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Fixed External Date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Jordan Pike</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Feb 26, 2027</w:t>
            </w:r>
          </w:p>
          <w:p>
            <w:pPr>
              <w:pStyle w:val="IGCell"/>
              <w:spacing w:after="0" w:before="40"/>
            </w:pPr>
            <w:r>
              <w:rPr>
                <w:rFonts w:ascii="Arial" w:hAnsi="Arial" w:cs="Arial" w:eastAsia="Arial"/>
                <w:color w:val="192E43"/>
                <w:sz w:val="16"/>
              </w:rPr>
              <w:t>Revised Mar 5,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Complete</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MS-011</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SB 214 passes originating chamber</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OBJ-1</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Fixed External Date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Jordan Pike</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Mar 12,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Complete</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MS-012</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House committee vote on SB 214</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OBJ-1</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Fixed External Date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Jordan Pike</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Apr 14,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In Progress</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MS-019</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Opt-out language retained in Senate committee</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OBJ-2</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Fixed External Date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Jordan Pike</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Apr 16,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In Progress</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MS-013</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Final passage before adjournment</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OBJ-1</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Fixed External Date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Jordan Pike</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Apr 29,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Not Started</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MS-036</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Comments filed on state stormwater general permit revision</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OBJ-2</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Fixed External Date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Jordan Pike</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May 7,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Not Started</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MS-027</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Term sheet agreed among County, Riverton, and Transit Authority staff</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OBJ-4</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Internal Target</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Alicia Brandt</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Apr 30, 2027</w:t>
            </w:r>
          </w:p>
          <w:p>
            <w:pPr>
              <w:pStyle w:val="IGCell"/>
              <w:spacing w:after="0" w:before="40"/>
            </w:pPr>
            <w:r>
              <w:rPr>
                <w:rFonts w:ascii="Arial" w:hAnsi="Arial" w:cs="Arial" w:eastAsia="Arial"/>
                <w:color w:val="192E43"/>
                <w:sz w:val="16"/>
              </w:rPr>
              <w:t>Revised May 14,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Delayed</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MS-032</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First leader-level meeting with Three Fords Tribal Nation</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OBJ-5</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Internal Target</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Elena Marsh</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May 21,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In Progress</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MS-014</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Governor action window closes</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OBJ-1</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Fixed External Date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Elena Marsh</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May 28,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Not Started</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MS-015</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Board decision on match source if enabling authority fails</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OBJ-3</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Decision Point</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Lena Park</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Jun 8,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Not Started</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MS-006</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Mid-year plan adjustment decision with County Executive</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OBJ-6</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Decision Point</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Elena Marsh</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Jul 22,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Not Started</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MS-024</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Written match commitment from State DOT</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OBJ-3</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Internal Target</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Samuel Ortega</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Jul 30,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Not Started</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MS-035</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Second leader-level meeting before application is finalized</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OBJ-5</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Internal Target</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Elena Marsh</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Aug 13,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Not Started</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MS-029</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Governing bodies approve agreement</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OBJ-4</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Fixed External Date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Alicia Brandt</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Aug 17,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Not Started</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MS-030</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Agreement executed by all parties</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OBJ-4</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Internal Target</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Alicia Brandt</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Aug 31,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Not Started</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MS-026</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Application submitted</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OBJ-3</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Assumed External Date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Samuel Ortega</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Sep 30,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Not Started</w:t>
            </w:r>
          </w:p>
        </w:tc>
      </w:tr>
      <w:tr>
        <w:trPr>
          <w:cantSplit w:val="true"/>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6"/>
              </w:rPr>
              <w:t>MS-005</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6"/>
              </w:rPr>
              <w:t>Q3 report delivered to County Executive and Board</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OBJ-6</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Internal Target</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Elena Marsh</w:t>
            </w:r>
          </w:p>
        </w:tc>
        <w:tc>
          <w:tcPr>
            <w:tcW w:type="dxa" w:w="1224"/>
            <w:tcMar>
              <w:top w:w="45" w:type="dxa"/>
              <w:left w:w="80" w:type="dxa"/>
              <w:bottom w:w="45" w:type="dxa"/>
              <w:right w:w="60" w:type="dxa"/>
            </w:tcMar>
            <w:vAlign w:val="top"/>
          </w:tcPr>
          <w:p>
            <w:pPr>
              <w:pStyle w:val="IGCell"/>
              <w:spacing w:after="0"/>
            </w:pPr>
            <w:r>
              <w:rPr>
                <w:rFonts w:ascii="Arial" w:hAnsi="Arial" w:cs="Arial" w:eastAsia="Arial"/>
                <w:color w:val="192E43"/>
                <w:sz w:val="16"/>
              </w:rPr>
              <w:t>Oct 15, 2027</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Not Started</w:t>
            </w:r>
          </w:p>
        </w:tc>
      </w:tr>
    </w:tbl>
    <w:p>
      <w:pPr>
        <w:spacing w:after="80" w:line="144" w:lineRule="auto"/>
      </w:pPr>
    </w:p>
    <w:p>
      <w:pPr>
        <w:pStyle w:val="Heading2"/>
      </w:pPr>
      <w:r>
        <w:t>9.2 Pacing of the year</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007"/>
        <w:gridCol w:w="3744"/>
        <w:gridCol w:w="2448"/>
        <w:gridCol w:w="2448"/>
      </w:tblGrid>
      <w:tr>
        <w:trPr>
          <w:tblHeader w:val="true"/>
          <w:cantSplit w:val="true"/>
        </w:trPr>
        <w:tc>
          <w:tcPr>
            <w:tcW w:type="dxa" w:w="100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Quarter</w:t>
            </w:r>
          </w:p>
        </w:tc>
        <w:tc>
          <w:tcPr>
            <w:tcW w:type="dxa" w:w="374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Principal work</w:t>
            </w:r>
          </w:p>
        </w:tc>
        <w:tc>
          <w:tcPr>
            <w:tcW w:type="dxa" w:w="244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Leadership decisions</w:t>
            </w:r>
          </w:p>
        </w:tc>
        <w:tc>
          <w:tcPr>
            <w:tcW w:type="dxa" w:w="244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Capacity pinch points</w:t>
            </w:r>
          </w:p>
        </w:tc>
      </w:tr>
      <w:tr>
        <w:trPr>
          <w:cantSplit w:val="true"/>
        </w:trPr>
        <w:tc>
          <w:tcPr>
            <w:tcW w:type="dxa" w:w="1008"/>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Q1</w:t>
            </w:r>
          </w:p>
        </w:tc>
        <w:tc>
          <w:tcPr>
            <w:tcW w:type="dxa" w:w="3744"/>
            <w:tcMar>
              <w:top w:w="45" w:type="dxa"/>
              <w:left w:w="80" w:type="dxa"/>
              <w:bottom w:w="45" w:type="dxa"/>
              <w:right w:w="60" w:type="dxa"/>
            </w:tcMar>
            <w:vAlign w:val="top"/>
          </w:tcPr>
          <w:p>
            <w:pPr>
              <w:pStyle w:val="IGCell"/>
              <w:keepNext/>
              <w:spacing w:after="0"/>
            </w:pPr>
            <w:r>
              <w:rPr>
                <w:rFonts w:ascii="Arial" w:hAnsi="Arial" w:cs="Arial" w:eastAsia="Arial"/>
                <w:color w:val="192E43"/>
                <w:sz w:val="17"/>
              </w:rPr>
              <w:t>Session opens. SB 214 filed and moved through the Senate. HB 388 amendment. Clearance protocol. Federal go decision. Bridge cost allocation analysis.</w:t>
            </w:r>
          </w:p>
        </w:tc>
        <w:tc>
          <w:tcPr>
            <w:tcW w:type="dxa" w:w="2448"/>
            <w:tcMar>
              <w:top w:w="45" w:type="dxa"/>
              <w:left w:w="80" w:type="dxa"/>
              <w:bottom w:w="45" w:type="dxa"/>
              <w:right w:w="60" w:type="dxa"/>
            </w:tcMar>
            <w:vAlign w:val="top"/>
          </w:tcPr>
          <w:p>
            <w:pPr>
              <w:pStyle w:val="IGCell"/>
              <w:keepNext/>
              <w:spacing w:after="0"/>
            </w:pPr>
            <w:r>
              <w:rPr>
                <w:rFonts w:ascii="Arial" w:hAnsi="Arial" w:cs="Arial" w:eastAsia="Arial"/>
                <w:color w:val="192E43"/>
                <w:sz w:val="17"/>
              </w:rPr>
              <w:t>Clearance protocol. Go decision on the federal application.</w:t>
            </w:r>
          </w:p>
        </w:tc>
        <w:tc>
          <w:tcPr>
            <w:tcW w:type="dxa" w:w="2448"/>
            <w:tcMar>
              <w:top w:w="45" w:type="dxa"/>
              <w:left w:w="80" w:type="dxa"/>
              <w:bottom w:w="45" w:type="dxa"/>
              <w:right w:w="60" w:type="dxa"/>
            </w:tcMar>
            <w:vAlign w:val="top"/>
          </w:tcPr>
          <w:p>
            <w:pPr>
              <w:pStyle w:val="IGCell"/>
              <w:keepNext/>
              <w:spacing w:after="0"/>
            </w:pPr>
            <w:r>
              <w:rPr>
                <w:rFonts w:ascii="Arial" w:hAnsi="Arial" w:cs="Arial" w:eastAsia="Arial"/>
                <w:color w:val="192E43"/>
                <w:sz w:val="17"/>
              </w:rPr>
              <w:t>Session load on the Senior Legislative Analyst. Director covers hearings.</w:t>
            </w:r>
          </w:p>
        </w:tc>
      </w:tr>
      <w:tr>
        <w:trPr>
          <w:cantSplit w:val="true"/>
        </w:trPr>
        <w:tc>
          <w:tcPr>
            <w:tcW w:type="dxa" w:w="1008"/>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Q2</w:t>
            </w:r>
          </w:p>
        </w:tc>
        <w:tc>
          <w:tcPr>
            <w:tcW w:type="dxa" w:w="3744"/>
            <w:tcMar>
              <w:top w:w="45" w:type="dxa"/>
              <w:left w:w="80" w:type="dxa"/>
              <w:bottom w:w="45" w:type="dxa"/>
              <w:right w:w="60" w:type="dxa"/>
            </w:tcMar>
            <w:vAlign w:val="top"/>
          </w:tcPr>
          <w:p>
            <w:pPr>
              <w:pStyle w:val="IGCell"/>
              <w:keepNext/>
              <w:spacing w:after="0"/>
            </w:pPr>
            <w:r>
              <w:rPr>
                <w:rFonts w:ascii="Arial" w:hAnsi="Arial" w:cs="Arial" w:eastAsia="Arial"/>
                <w:color w:val="192E43"/>
                <w:sz w:val="17"/>
              </w:rPr>
              <w:t>House action on SB 214 and final passage by Apr 29. Governor action by May 28. Term sheet. Tribal leader-level meeting. Federal notice expected Jun 15.</w:t>
            </w:r>
          </w:p>
        </w:tc>
        <w:tc>
          <w:tcPr>
            <w:tcW w:type="dxa" w:w="2448"/>
            <w:tcMar>
              <w:top w:w="45" w:type="dxa"/>
              <w:left w:w="80" w:type="dxa"/>
              <w:bottom w:w="45" w:type="dxa"/>
              <w:right w:w="60" w:type="dxa"/>
            </w:tcMar>
            <w:vAlign w:val="top"/>
          </w:tcPr>
          <w:p>
            <w:pPr>
              <w:pStyle w:val="IGCell"/>
              <w:keepNext/>
              <w:spacing w:after="0"/>
            </w:pPr>
            <w:r>
              <w:rPr>
                <w:rFonts w:ascii="Arial" w:hAnsi="Arial" w:cs="Arial" w:eastAsia="Arial"/>
                <w:color w:val="192E43"/>
                <w:sz w:val="17"/>
              </w:rPr>
              <w:t>HB 530 position. Match fallback direction. Invitation letter. Board decision on match source Jun 8.</w:t>
            </w:r>
          </w:p>
        </w:tc>
        <w:tc>
          <w:tcPr>
            <w:tcW w:type="dxa" w:w="2448"/>
            <w:tcMar>
              <w:top w:w="45" w:type="dxa"/>
              <w:left w:w="80" w:type="dxa"/>
              <w:bottom w:w="45" w:type="dxa"/>
              <w:right w:w="60" w:type="dxa"/>
            </w:tcMar>
            <w:vAlign w:val="top"/>
          </w:tcPr>
          <w:p>
            <w:pPr>
              <w:pStyle w:val="IGCell"/>
              <w:keepNext/>
              <w:spacing w:after="0"/>
            </w:pPr>
            <w:r>
              <w:rPr>
                <w:rFonts w:ascii="Arial" w:hAnsi="Arial" w:cs="Arial" w:eastAsia="Arial"/>
                <w:color w:val="192E43"/>
                <w:sz w:val="17"/>
              </w:rPr>
              <w:t>Session end and federal notice arrive together. Public Works schedule.</w:t>
            </w:r>
          </w:p>
        </w:tc>
      </w:tr>
      <w:tr>
        <w:trPr>
          <w:cantSplit w:val="true"/>
        </w:trPr>
        <w:tc>
          <w:tcPr>
            <w:tcW w:type="dxa" w:w="1008"/>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Q3</w:t>
            </w:r>
          </w:p>
        </w:tc>
        <w:tc>
          <w:tcPr>
            <w:tcW w:type="dxa" w:w="3744"/>
            <w:tcMar>
              <w:top w:w="45" w:type="dxa"/>
              <w:left w:w="80" w:type="dxa"/>
              <w:bottom w:w="45" w:type="dxa"/>
              <w:right w:w="60" w:type="dxa"/>
            </w:tcMar>
            <w:vAlign w:val="top"/>
          </w:tcPr>
          <w:p>
            <w:pPr>
              <w:pStyle w:val="IGCell"/>
              <w:keepNext/>
              <w:spacing w:after="0"/>
            </w:pPr>
            <w:r>
              <w:rPr>
                <w:rFonts w:ascii="Arial" w:hAnsi="Arial" w:cs="Arial" w:eastAsia="Arial"/>
                <w:color w:val="192E43"/>
                <w:sz w:val="17"/>
              </w:rPr>
              <w:t>Draft agreement to counsels. State DOT commitment. Governing body approvals Aug 17. Execution by Aug 31. Application by Sep 30.</w:t>
            </w:r>
          </w:p>
        </w:tc>
        <w:tc>
          <w:tcPr>
            <w:tcW w:type="dxa" w:w="2448"/>
            <w:tcMar>
              <w:top w:w="45" w:type="dxa"/>
              <w:left w:w="80" w:type="dxa"/>
              <w:bottom w:w="45" w:type="dxa"/>
              <w:right w:w="60" w:type="dxa"/>
            </w:tcMar>
            <w:vAlign w:val="top"/>
          </w:tcPr>
          <w:p>
            <w:pPr>
              <w:pStyle w:val="IGCell"/>
              <w:keepNext/>
              <w:spacing w:after="0"/>
            </w:pPr>
            <w:r>
              <w:rPr>
                <w:rFonts w:ascii="Arial" w:hAnsi="Arial" w:cs="Arial" w:eastAsia="Arial"/>
                <w:color w:val="192E43"/>
                <w:sz w:val="17"/>
              </w:rPr>
              <w:t>Mid-year plan adjustment Jul 22. Board approval of the agreement.</w:t>
            </w:r>
          </w:p>
        </w:tc>
        <w:tc>
          <w:tcPr>
            <w:tcW w:type="dxa" w:w="2448"/>
            <w:tcMar>
              <w:top w:w="45" w:type="dxa"/>
              <w:left w:w="80" w:type="dxa"/>
              <w:bottom w:w="45" w:type="dxa"/>
              <w:right w:w="60" w:type="dxa"/>
            </w:tcMar>
            <w:vAlign w:val="top"/>
          </w:tcPr>
          <w:p>
            <w:pPr>
              <w:pStyle w:val="IGCell"/>
              <w:keepNext/>
              <w:spacing w:after="0"/>
            </w:pPr>
            <w:r>
              <w:rPr>
                <w:rFonts w:ascii="Arial" w:hAnsi="Arial" w:cs="Arial" w:eastAsia="Arial"/>
                <w:color w:val="192E43"/>
                <w:sz w:val="17"/>
              </w:rPr>
              <w:t>Application production and agreement execution overlap.</w:t>
            </w:r>
          </w:p>
        </w:tc>
      </w:tr>
      <w:tr>
        <w:trPr>
          <w:cantSplit w:val="true"/>
        </w:trPr>
        <w:tc>
          <w:tcPr>
            <w:tcW w:type="dxa" w:w="1008"/>
            <w:tcMar>
              <w:top w:w="45" w:type="dxa"/>
              <w:left w:w="80" w:type="dxa"/>
              <w:bottom w:w="45" w:type="dxa"/>
              <w:right w:w="60" w:type="dxa"/>
            </w:tcMar>
            <w:vAlign w:val="top"/>
          </w:tcPr>
          <w:p>
            <w:pPr>
              <w:pStyle w:val="IGCell"/>
              <w:spacing w:after="0"/>
            </w:pPr>
            <w:r>
              <w:rPr>
                <w:rFonts w:ascii="Arial" w:hAnsi="Arial" w:cs="Arial" w:eastAsia="Arial"/>
                <w:b/>
                <w:color w:val="192E43"/>
                <w:sz w:val="17"/>
              </w:rPr>
              <w:t>Q4</w:t>
            </w:r>
          </w:p>
        </w:tc>
        <w:tc>
          <w:tcPr>
            <w:tcW w:type="dxa" w:w="3744"/>
            <w:tcMar>
              <w:top w:w="45" w:type="dxa"/>
              <w:left w:w="80" w:type="dxa"/>
              <w:bottom w:w="45" w:type="dxa"/>
              <w:right w:w="60" w:type="dxa"/>
            </w:tcMar>
            <w:vAlign w:val="top"/>
          </w:tcPr>
          <w:p>
            <w:pPr>
              <w:pStyle w:val="IGCell"/>
              <w:spacing w:after="0"/>
            </w:pPr>
            <w:r>
              <w:rPr>
                <w:rFonts w:ascii="Arial" w:hAnsi="Arial" w:cs="Arial" w:eastAsia="Arial"/>
                <w:color w:val="192E43"/>
                <w:sz w:val="17"/>
              </w:rPr>
              <w:t>Close out the application and agreement. Report to leadership. Preparation of the next plan and the 2028 platform.</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7"/>
              </w:rPr>
              <w:t>Next year's platform and plan priorities.</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7"/>
              </w:rPr>
              <w:t>Staffing for next session preparation.</w:t>
            </w:r>
          </w:p>
        </w:tc>
      </w:tr>
    </w:tbl>
    <w:p>
      <w:pPr>
        <w:spacing w:after="80" w:line="144" w:lineRule="auto"/>
      </w:pPr>
    </w:p>
    <w:p>
      <w:pPr>
        <w:pStyle w:val="Heading2"/>
      </w:pPr>
      <w:r>
        <w:t>9.3 Assignments and capacity</w:t>
      </w:r>
    </w:p>
    <w:tbl>
      <w:tblPr>
        <w:tblW w:w="9647"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2015"/>
        <w:gridCol w:w="2160"/>
        <w:gridCol w:w="3311"/>
      </w:tblGrid>
      <w:tr>
        <w:trPr>
          <w:tblHeader w:val="true"/>
          <w:cantSplit w:val="true"/>
        </w:trPr>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Person</w:t>
            </w:r>
          </w:p>
        </w:tc>
        <w:tc>
          <w:tcPr>
            <w:tcW w:type="dxa" w:w="201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Leads</w:t>
            </w:r>
          </w:p>
        </w:tc>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Supports</w:t>
            </w:r>
          </w:p>
        </w:tc>
        <w:tc>
          <w:tcPr>
            <w:tcW w:type="dxa" w:w="331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Capacity notes</w:t>
            </w:r>
          </w:p>
        </w:tc>
      </w:tr>
      <w:tr>
        <w:trPr>
          <w:cantSplit w:val="true"/>
        </w:trPr>
        <w:tc>
          <w:tcPr>
            <w:tcW w:type="dxa" w:w="216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Elena Marsh</w:t>
            </w:r>
          </w:p>
          <w:p>
            <w:pPr>
              <w:pStyle w:val="IGCell"/>
              <w:keepNext/>
              <w:spacing w:after="0" w:before="40"/>
            </w:pPr>
            <w:r>
              <w:rPr>
                <w:rFonts w:ascii="Arial" w:hAnsi="Arial" w:cs="Arial" w:eastAsia="Arial"/>
                <w:b/>
                <w:color w:val="192E43"/>
                <w:sz w:val="17"/>
              </w:rPr>
              <w:t>Director</w:t>
            </w:r>
          </w:p>
        </w:tc>
        <w:tc>
          <w:tcPr>
            <w:tcW w:type="dxa" w:w="2016"/>
            <w:tcMar>
              <w:top w:w="45" w:type="dxa"/>
              <w:left w:w="80" w:type="dxa"/>
              <w:bottom w:w="45" w:type="dxa"/>
              <w:right w:w="60" w:type="dxa"/>
            </w:tcMar>
            <w:vAlign w:val="top"/>
          </w:tcPr>
          <w:p>
            <w:pPr>
              <w:pStyle w:val="IGCell"/>
              <w:keepNext/>
              <w:spacing w:after="0"/>
            </w:pPr>
            <w:r>
              <w:rPr>
                <w:rFonts w:ascii="Arial" w:hAnsi="Arial" w:cs="Arial" w:eastAsia="Arial"/>
                <w:color w:val="192E43"/>
                <w:sz w:val="17"/>
              </w:rPr>
              <w:t>OBJ-5, OBJ-6. Tier 1 executive relationships.</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All objectives. Executive reporting.</w:t>
            </w:r>
          </w:p>
        </w:tc>
        <w:tc>
          <w:tcPr>
            <w:tcW w:type="dxa" w:w="3312"/>
            <w:tcMar>
              <w:top w:w="45" w:type="dxa"/>
              <w:left w:w="80" w:type="dxa"/>
              <w:bottom w:w="45" w:type="dxa"/>
              <w:right w:w="60" w:type="dxa"/>
            </w:tcMar>
            <w:vAlign w:val="top"/>
          </w:tcPr>
          <w:p>
            <w:pPr>
              <w:pStyle w:val="IGCell"/>
              <w:keepNext/>
              <w:spacing w:after="0"/>
            </w:pPr>
            <w:r>
              <w:rPr>
                <w:rFonts w:ascii="Arial" w:hAnsi="Arial" w:cs="Arial" w:eastAsia="Arial"/>
                <w:color w:val="192E43"/>
                <w:sz w:val="17"/>
              </w:rPr>
              <w:t>Backup for legislative hearings during session. Single point of contact for Deputy County Executive.</w:t>
            </w:r>
          </w:p>
        </w:tc>
      </w:tr>
      <w:tr>
        <w:trPr>
          <w:cantSplit w:val="true"/>
        </w:trPr>
        <w:tc>
          <w:tcPr>
            <w:tcW w:type="dxa" w:w="216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Jordan Pike</w:t>
            </w:r>
          </w:p>
          <w:p>
            <w:pPr>
              <w:pStyle w:val="IGCell"/>
              <w:keepNext/>
              <w:spacing w:after="0" w:before="40"/>
            </w:pPr>
            <w:r>
              <w:rPr>
                <w:rFonts w:ascii="Arial" w:hAnsi="Arial" w:cs="Arial" w:eastAsia="Arial"/>
                <w:b/>
                <w:color w:val="192E43"/>
                <w:sz w:val="17"/>
              </w:rPr>
              <w:t>Senior Legislative Analyst</w:t>
            </w:r>
          </w:p>
        </w:tc>
        <w:tc>
          <w:tcPr>
            <w:tcW w:type="dxa" w:w="2016"/>
            <w:tcMar>
              <w:top w:w="45" w:type="dxa"/>
              <w:left w:w="80" w:type="dxa"/>
              <w:bottom w:w="45" w:type="dxa"/>
              <w:right w:w="60" w:type="dxa"/>
            </w:tcMar>
            <w:vAlign w:val="top"/>
          </w:tcPr>
          <w:p>
            <w:pPr>
              <w:pStyle w:val="IGCell"/>
              <w:keepNext/>
              <w:spacing w:after="0"/>
            </w:pPr>
            <w:r>
              <w:rPr>
                <w:rFonts w:ascii="Arial" w:hAnsi="Arial" w:cs="Arial" w:eastAsia="Arial"/>
                <w:color w:val="192E43"/>
                <w:sz w:val="17"/>
              </w:rPr>
              <w:t>OBJ-1, OBJ-2.</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OBJ-3 (state program funding).</w:t>
            </w:r>
          </w:p>
        </w:tc>
        <w:tc>
          <w:tcPr>
            <w:tcW w:type="dxa" w:w="3312"/>
            <w:tcMar>
              <w:top w:w="45" w:type="dxa"/>
              <w:left w:w="80" w:type="dxa"/>
              <w:bottom w:w="45" w:type="dxa"/>
              <w:right w:w="60" w:type="dxa"/>
            </w:tcMar>
            <w:vAlign w:val="top"/>
          </w:tcPr>
          <w:p>
            <w:pPr>
              <w:pStyle w:val="IGCell"/>
              <w:keepNext/>
              <w:spacing w:after="0"/>
            </w:pPr>
            <w:r>
              <w:rPr>
                <w:rFonts w:ascii="Arial" w:hAnsi="Arial" w:cs="Arial" w:eastAsia="Arial"/>
                <w:color w:val="192E43"/>
                <w:sz w:val="17"/>
              </w:rPr>
              <w:t>Full session load Jan to Apr. Cannot take new priorities before Apr 29.</w:t>
            </w:r>
          </w:p>
        </w:tc>
      </w:tr>
      <w:tr>
        <w:trPr>
          <w:cantSplit w:val="true"/>
        </w:trPr>
        <w:tc>
          <w:tcPr>
            <w:tcW w:type="dxa" w:w="216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Samuel Ortega</w:t>
            </w:r>
          </w:p>
          <w:p>
            <w:pPr>
              <w:pStyle w:val="IGCell"/>
              <w:keepNext/>
              <w:spacing w:after="0" w:before="40"/>
            </w:pPr>
            <w:r>
              <w:rPr>
                <w:rFonts w:ascii="Arial" w:hAnsi="Arial" w:cs="Arial" w:eastAsia="Arial"/>
                <w:b/>
                <w:color w:val="192E43"/>
                <w:sz w:val="17"/>
              </w:rPr>
              <w:t>Federal Programs Liaison</w:t>
            </w:r>
          </w:p>
        </w:tc>
        <w:tc>
          <w:tcPr>
            <w:tcW w:type="dxa" w:w="2016"/>
            <w:tcMar>
              <w:top w:w="45" w:type="dxa"/>
              <w:left w:w="80" w:type="dxa"/>
              <w:bottom w:w="45" w:type="dxa"/>
              <w:right w:w="60" w:type="dxa"/>
            </w:tcMar>
            <w:vAlign w:val="top"/>
          </w:tcPr>
          <w:p>
            <w:pPr>
              <w:pStyle w:val="IGCell"/>
              <w:keepNext/>
              <w:spacing w:after="0"/>
            </w:pPr>
            <w:r>
              <w:rPr>
                <w:rFonts w:ascii="Arial" w:hAnsi="Arial" w:cs="Arial" w:eastAsia="Arial"/>
                <w:color w:val="192E43"/>
                <w:sz w:val="17"/>
              </w:rPr>
              <w:t>OBJ-3.</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OBJ-5 (federal scoping).</w:t>
            </w:r>
          </w:p>
        </w:tc>
        <w:tc>
          <w:tcPr>
            <w:tcW w:type="dxa" w:w="3312"/>
            <w:tcMar>
              <w:top w:w="45" w:type="dxa"/>
              <w:left w:w="80" w:type="dxa"/>
              <w:bottom w:w="45" w:type="dxa"/>
              <w:right w:w="60" w:type="dxa"/>
            </w:tcMar>
            <w:vAlign w:val="top"/>
          </w:tcPr>
          <w:p>
            <w:pPr>
              <w:pStyle w:val="IGCell"/>
              <w:keepNext/>
              <w:spacing w:after="0"/>
            </w:pPr>
            <w:r>
              <w:rPr>
                <w:rFonts w:ascii="Arial" w:hAnsi="Arial" w:cs="Arial" w:eastAsia="Arial"/>
                <w:color w:val="192E43"/>
                <w:sz w:val="17"/>
              </w:rPr>
              <w:t>Application production sits with Public Works. Time rises sharply after the federal notice.</w:t>
            </w:r>
          </w:p>
        </w:tc>
      </w:tr>
      <w:tr>
        <w:trPr>
          <w:cantSplit w:val="true"/>
        </w:trPr>
        <w:tc>
          <w:tcPr>
            <w:tcW w:type="dxa" w:w="2160"/>
            <w:tcMar>
              <w:top w:w="45" w:type="dxa"/>
              <w:left w:w="80" w:type="dxa"/>
              <w:bottom w:w="45" w:type="dxa"/>
              <w:right w:w="60" w:type="dxa"/>
            </w:tcMar>
            <w:vAlign w:val="top"/>
          </w:tcPr>
          <w:p>
            <w:pPr>
              <w:pStyle w:val="IGCell"/>
              <w:spacing w:after="0"/>
            </w:pPr>
            <w:r>
              <w:rPr>
                <w:rFonts w:ascii="Arial" w:hAnsi="Arial" w:cs="Arial" w:eastAsia="Arial"/>
                <w:b/>
                <w:color w:val="192E43"/>
                <w:sz w:val="17"/>
              </w:rPr>
              <w:t>Alicia Brandt</w:t>
            </w:r>
          </w:p>
          <w:p>
            <w:pPr>
              <w:pStyle w:val="IGCell"/>
              <w:spacing w:after="0" w:before="40"/>
            </w:pPr>
            <w:r>
              <w:rPr>
                <w:rFonts w:ascii="Arial" w:hAnsi="Arial" w:cs="Arial" w:eastAsia="Arial"/>
                <w:b/>
                <w:color w:val="192E43"/>
                <w:sz w:val="17"/>
              </w:rPr>
              <w:t>Regional Coordination Manager</w:t>
            </w:r>
          </w:p>
        </w:tc>
        <w:tc>
          <w:tcPr>
            <w:tcW w:type="dxa" w:w="2016"/>
            <w:tcMar>
              <w:top w:w="45" w:type="dxa"/>
              <w:left w:w="80" w:type="dxa"/>
              <w:bottom w:w="45" w:type="dxa"/>
              <w:right w:w="60" w:type="dxa"/>
            </w:tcMar>
            <w:vAlign w:val="top"/>
          </w:tcPr>
          <w:p>
            <w:pPr>
              <w:pStyle w:val="IGCell"/>
              <w:spacing w:after="0"/>
            </w:pPr>
            <w:r>
              <w:rPr>
                <w:rFonts w:ascii="Arial" w:hAnsi="Arial" w:cs="Arial" w:eastAsia="Arial"/>
                <w:color w:val="192E43"/>
                <w:sz w:val="17"/>
              </w:rPr>
              <w:t>OBJ-4.</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7"/>
              </w:rPr>
              <w:t>OBJ-3 (Harlan County), OBJ-5.</w:t>
            </w:r>
          </w:p>
        </w:tc>
        <w:tc>
          <w:tcPr>
            <w:tcW w:type="dxa" w:w="3312"/>
            <w:tcMar>
              <w:top w:w="45" w:type="dxa"/>
              <w:left w:w="80" w:type="dxa"/>
              <w:bottom w:w="45" w:type="dxa"/>
              <w:right w:w="60" w:type="dxa"/>
            </w:tcMar>
            <w:vAlign w:val="top"/>
          </w:tcPr>
          <w:p>
            <w:pPr>
              <w:pStyle w:val="IGCell"/>
              <w:spacing w:after="0"/>
            </w:pPr>
            <w:r>
              <w:rPr>
                <w:rFonts w:ascii="Arial" w:hAnsi="Arial" w:cs="Arial" w:eastAsia="Arial"/>
                <w:color w:val="192E43"/>
                <w:sz w:val="17"/>
              </w:rPr>
              <w:t>Agreement drafting depends on counsel availability.</w:t>
            </w:r>
          </w:p>
        </w:tc>
      </w:tr>
    </w:tbl>
    <w:p>
      <w:pPr>
        <w:spacing w:after="80" w:line="144" w:lineRule="auto"/>
      </w:pPr>
    </w:p>
    <w:p>
      <w:pPr>
        <w:pStyle w:val="Heading1"/>
      </w:pPr>
      <w:r>
        <w:t>10. Risks, Constraints, and Escalation Requirements</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Names what could stop an objective, how the office would know early, and when a problem moves to a decision-maker.</w:t>
      </w:r>
    </w:p>
    <w:p>
      <w:pPr>
        <w:pStyle w:val="Heading2"/>
      </w:pPr>
      <w:r>
        <w:t>10.1 Principal risks</w:t>
      </w:r>
    </w:p>
    <w:p>
      <w:pPr>
        <w:pStyle w:val="IGSmall"/>
        <w:keepNext/>
      </w:pPr>
      <w:r>
        <w:rPr>
          <w:rFonts w:ascii="Arial" w:hAnsi="Arial" w:cs="Arial" w:eastAsia="Arial"/>
        </w:rPr>
        <w:t>7 of 12 risks in the tracker: open risks rated High, and any risk that has been escalated. Rating is likelihood multiplied by impact.</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792"/>
        <w:gridCol w:w="2664"/>
        <w:gridCol w:w="720"/>
        <w:gridCol w:w="1007"/>
        <w:gridCol w:w="2160"/>
        <w:gridCol w:w="2304"/>
      </w:tblGrid>
      <w:tr>
        <w:trPr>
          <w:tblHeader w:val="true"/>
          <w:cantSplit w:val="true"/>
        </w:trPr>
        <w:tc>
          <w:tcPr>
            <w:tcW w:type="dxa" w:w="79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ID</w:t>
            </w:r>
          </w:p>
        </w:tc>
        <w:tc>
          <w:tcPr>
            <w:tcW w:type="dxa" w:w="2664"/>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Risk</w:t>
            </w:r>
          </w:p>
        </w:tc>
        <w:tc>
          <w:tcPr>
            <w:tcW w:type="dxa" w:w="720"/>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Obj.</w:t>
            </w:r>
          </w:p>
        </w:tc>
        <w:tc>
          <w:tcPr>
            <w:tcW w:type="dxa" w:w="1008"/>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Rating</w:t>
            </w:r>
          </w:p>
        </w:tc>
        <w:tc>
          <w:tcPr>
            <w:tcW w:type="dxa" w:w="2160"/>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Early warning indicator</w:t>
            </w:r>
          </w:p>
        </w:tc>
        <w:tc>
          <w:tcPr>
            <w:tcW w:type="dxa" w:w="2304"/>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Mitigation, owner, status</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6"/>
              </w:rPr>
              <w:t>RSK-01</w:t>
            </w:r>
          </w:p>
        </w:tc>
        <w:tc>
          <w:tcPr>
            <w:tcW w:type="dxa" w:w="2664"/>
            <w:tcMar>
              <w:top w:w="45" w:type="dxa"/>
              <w:left w:w="80" w:type="dxa"/>
              <w:bottom w:w="45" w:type="dxa"/>
              <w:right w:w="60" w:type="dxa"/>
            </w:tcMar>
            <w:vAlign w:val="top"/>
          </w:tcPr>
          <w:p>
            <w:pPr>
              <w:pStyle w:val="IGCell"/>
              <w:spacing w:after="0"/>
            </w:pPr>
            <w:r>
              <w:rPr>
                <w:rFonts w:ascii="Arial" w:hAnsi="Arial" w:cs="Arial" w:eastAsia="Arial"/>
                <w:color w:val="192E43"/>
                <w:sz w:val="16"/>
              </w:rPr>
              <w:t>SB 214 dies in the House committee or is amended to cap the rate or exclude bridge capital, leaving the County without a local match source.</w:t>
            </w:r>
          </w:p>
        </w:tc>
        <w:tc>
          <w:tcPr>
            <w:tcW w:type="dxa" w:w="720"/>
            <w:tcMar>
              <w:top w:w="45" w:type="dxa"/>
              <w:left w:w="80" w:type="dxa"/>
              <w:bottom w:w="45" w:type="dxa"/>
              <w:right w:w="60" w:type="dxa"/>
            </w:tcMar>
            <w:vAlign w:val="top"/>
          </w:tcPr>
          <w:p>
            <w:pPr>
              <w:pStyle w:val="IGCell"/>
              <w:spacing w:after="0"/>
            </w:pPr>
            <w:r>
              <w:rPr>
                <w:rFonts w:ascii="Arial" w:hAnsi="Arial" w:cs="Arial" w:eastAsia="Arial"/>
                <w:color w:val="192E43"/>
                <w:sz w:val="16"/>
              </w:rPr>
              <w:t>OBJ-1</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High</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6"/>
              </w:rPr>
              <w:t>Hearing not noticed; amendments filed by a Riverton-aligned member; no vote count from the Association.</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6"/>
              </w:rPr>
              <w:t>Weekly count with sponsor staff. Testimony reflects the count. Match fallback prepared in parallel (RSK-02).</w:t>
            </w:r>
          </w:p>
          <w:p>
            <w:pPr>
              <w:pStyle w:val="IGCell"/>
              <w:spacing w:after="0" w:before="40"/>
            </w:pPr>
            <w:r>
              <w:rPr>
                <w:rFonts w:ascii="Arial" w:hAnsi="Arial" w:cs="Arial" w:eastAsia="Arial"/>
                <w:color w:val="192E43"/>
                <w:sz w:val="16"/>
              </w:rPr>
              <w:t>Owner: Jordan Pike. Status: Mitigating.</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6"/>
              </w:rPr>
              <w:t>RSK-02</w:t>
            </w:r>
          </w:p>
        </w:tc>
        <w:tc>
          <w:tcPr>
            <w:tcW w:type="dxa" w:w="2664"/>
            <w:tcMar>
              <w:top w:w="45" w:type="dxa"/>
              <w:left w:w="80" w:type="dxa"/>
              <w:bottom w:w="45" w:type="dxa"/>
              <w:right w:w="60" w:type="dxa"/>
            </w:tcMar>
            <w:vAlign w:val="top"/>
          </w:tcPr>
          <w:p>
            <w:pPr>
              <w:pStyle w:val="IGCell"/>
              <w:spacing w:after="0"/>
            </w:pPr>
            <w:r>
              <w:rPr>
                <w:rFonts w:ascii="Arial" w:hAnsi="Arial" w:cs="Arial" w:eastAsia="Arial"/>
                <w:color w:val="192E43"/>
                <w:sz w:val="16"/>
              </w:rPr>
              <w:t>If enabling authority fails, the County cannot commit its share of the nonfederal match before the application deadline.</w:t>
            </w:r>
          </w:p>
        </w:tc>
        <w:tc>
          <w:tcPr>
            <w:tcW w:type="dxa" w:w="720"/>
            <w:tcMar>
              <w:top w:w="45" w:type="dxa"/>
              <w:left w:w="80" w:type="dxa"/>
              <w:bottom w:w="45" w:type="dxa"/>
              <w:right w:w="60" w:type="dxa"/>
            </w:tcMar>
            <w:vAlign w:val="top"/>
          </w:tcPr>
          <w:p>
            <w:pPr>
              <w:pStyle w:val="IGCell"/>
              <w:spacing w:after="0"/>
            </w:pPr>
            <w:r>
              <w:rPr>
                <w:rFonts w:ascii="Arial" w:hAnsi="Arial" w:cs="Arial" w:eastAsia="Arial"/>
                <w:color w:val="192E43"/>
                <w:sz w:val="16"/>
              </w:rPr>
              <w:t>OBJ-3</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High</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6"/>
              </w:rPr>
              <w:t>SB 214 amended or stalled after Apr 14; Budget Director scenarios not delivered by Apr 16.</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6"/>
              </w:rPr>
              <w:t>Budget Director prepares alternate match scenarios. Board decision scheduled for Jun 8. Executive direction requested.</w:t>
            </w:r>
          </w:p>
          <w:p>
            <w:pPr>
              <w:pStyle w:val="IGCell"/>
              <w:spacing w:after="0" w:before="40"/>
            </w:pPr>
            <w:r>
              <w:rPr>
                <w:rFonts w:ascii="Arial" w:hAnsi="Arial" w:cs="Arial" w:eastAsia="Arial"/>
                <w:color w:val="192E43"/>
                <w:sz w:val="16"/>
              </w:rPr>
              <w:t>Owner: Lena Park. Status: Escalated.</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6"/>
              </w:rPr>
              <w:t>RSK-03</w:t>
            </w:r>
          </w:p>
        </w:tc>
        <w:tc>
          <w:tcPr>
            <w:tcW w:type="dxa" w:w="2664"/>
            <w:tcMar>
              <w:top w:w="45" w:type="dxa"/>
              <w:left w:w="80" w:type="dxa"/>
              <w:bottom w:w="45" w:type="dxa"/>
              <w:right w:w="60" w:type="dxa"/>
            </w:tcMar>
            <w:vAlign w:val="top"/>
          </w:tcPr>
          <w:p>
            <w:pPr>
              <w:pStyle w:val="IGCell"/>
              <w:spacing w:after="0"/>
            </w:pPr>
            <w:r>
              <w:rPr>
                <w:rFonts w:ascii="Arial" w:hAnsi="Arial" w:cs="Arial" w:eastAsia="Arial"/>
                <w:color w:val="192E43"/>
                <w:sz w:val="16"/>
              </w:rPr>
              <w:t>Harlan County's competing request splits delegation and state support for the same federal round.</w:t>
            </w:r>
          </w:p>
        </w:tc>
        <w:tc>
          <w:tcPr>
            <w:tcW w:type="dxa" w:w="720"/>
            <w:tcMar>
              <w:top w:w="45" w:type="dxa"/>
              <w:left w:w="80" w:type="dxa"/>
              <w:bottom w:w="45" w:type="dxa"/>
              <w:right w:w="60" w:type="dxa"/>
            </w:tcMar>
            <w:vAlign w:val="top"/>
          </w:tcPr>
          <w:p>
            <w:pPr>
              <w:pStyle w:val="IGCell"/>
              <w:spacing w:after="0"/>
            </w:pPr>
            <w:r>
              <w:rPr>
                <w:rFonts w:ascii="Arial" w:hAnsi="Arial" w:cs="Arial" w:eastAsia="Arial"/>
                <w:color w:val="192E43"/>
                <w:sz w:val="16"/>
              </w:rPr>
              <w:t>OBJ-3</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High</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6"/>
              </w:rPr>
              <w:t>Harlan requests the same delegation letters; no response to Apr 20 meeting request.</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6"/>
              </w:rPr>
              <w:t>Alicia Brandt meets Harlan's administrator Apr 20. Propose joint approach: sequence requests and avoid asking delegation to choose.</w:t>
            </w:r>
          </w:p>
          <w:p>
            <w:pPr>
              <w:pStyle w:val="IGCell"/>
              <w:spacing w:after="0" w:before="40"/>
            </w:pPr>
            <w:r>
              <w:rPr>
                <w:rFonts w:ascii="Arial" w:hAnsi="Arial" w:cs="Arial" w:eastAsia="Arial"/>
                <w:color w:val="192E43"/>
                <w:sz w:val="16"/>
              </w:rPr>
              <w:t>Owner: Alicia Brandt. Status: Open.</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6"/>
              </w:rPr>
              <w:t>RSK-04</w:t>
            </w:r>
          </w:p>
        </w:tc>
        <w:tc>
          <w:tcPr>
            <w:tcW w:type="dxa" w:w="2664"/>
            <w:tcMar>
              <w:top w:w="45" w:type="dxa"/>
              <w:left w:w="80" w:type="dxa"/>
              <w:bottom w:w="45" w:type="dxa"/>
              <w:right w:w="60" w:type="dxa"/>
            </w:tcMar>
            <w:vAlign w:val="top"/>
          </w:tcPr>
          <w:p>
            <w:pPr>
              <w:pStyle w:val="IGCell"/>
              <w:spacing w:after="0"/>
            </w:pPr>
            <w:r>
              <w:rPr>
                <w:rFonts w:ascii="Arial" w:hAnsi="Arial" w:cs="Arial" w:eastAsia="Arial"/>
                <w:color w:val="192E43"/>
                <w:sz w:val="16"/>
              </w:rPr>
              <w:t>Riverton and the County cannot agree on bridge cost allocation, delaying the agreement and the state match.</w:t>
            </w:r>
          </w:p>
        </w:tc>
        <w:tc>
          <w:tcPr>
            <w:tcW w:type="dxa" w:w="720"/>
            <w:tcMar>
              <w:top w:w="45" w:type="dxa"/>
              <w:left w:w="80" w:type="dxa"/>
              <w:bottom w:w="45" w:type="dxa"/>
              <w:right w:w="60" w:type="dxa"/>
            </w:tcMar>
            <w:vAlign w:val="top"/>
          </w:tcPr>
          <w:p>
            <w:pPr>
              <w:pStyle w:val="IGCell"/>
              <w:spacing w:after="0"/>
            </w:pPr>
            <w:r>
              <w:rPr>
                <w:rFonts w:ascii="Arial" w:hAnsi="Arial" w:cs="Arial" w:eastAsia="Arial"/>
                <w:color w:val="192E43"/>
                <w:sz w:val="16"/>
              </w:rPr>
              <w:t>OBJ-4</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High</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6"/>
              </w:rPr>
              <w:t>No response from Riverton by Apr 15; council committee opposes the proposal.</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6"/>
              </w:rPr>
              <w:t>Negotiating range authorized Apr 1. Offer transit-lane design basis to bring the Transit Authority alongside.</w:t>
            </w:r>
          </w:p>
          <w:p>
            <w:pPr>
              <w:pStyle w:val="IGCell"/>
              <w:spacing w:after="0" w:before="40"/>
            </w:pPr>
            <w:r>
              <w:rPr>
                <w:rFonts w:ascii="Arial" w:hAnsi="Arial" w:cs="Arial" w:eastAsia="Arial"/>
                <w:color w:val="192E43"/>
                <w:sz w:val="16"/>
              </w:rPr>
              <w:t>Owner: Alicia Brandt. Status: Escalated.</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6"/>
              </w:rPr>
              <w:t>RSK-06</w:t>
            </w:r>
          </w:p>
        </w:tc>
        <w:tc>
          <w:tcPr>
            <w:tcW w:type="dxa" w:w="2664"/>
            <w:tcMar>
              <w:top w:w="45" w:type="dxa"/>
              <w:left w:w="80" w:type="dxa"/>
              <w:bottom w:w="45" w:type="dxa"/>
              <w:right w:w="60" w:type="dxa"/>
            </w:tcMar>
            <w:vAlign w:val="top"/>
          </w:tcPr>
          <w:p>
            <w:pPr>
              <w:pStyle w:val="IGCell"/>
              <w:spacing w:after="0"/>
            </w:pPr>
            <w:r>
              <w:rPr>
                <w:rFonts w:ascii="Arial" w:hAnsi="Arial" w:cs="Arial" w:eastAsia="Arial"/>
                <w:color w:val="192E43"/>
                <w:sz w:val="16"/>
              </w:rPr>
              <w:t>HB 388 uniformity language is restored in the Senate or in conference, preempting stricter county standards.</w:t>
            </w:r>
          </w:p>
        </w:tc>
        <w:tc>
          <w:tcPr>
            <w:tcW w:type="dxa" w:w="720"/>
            <w:tcMar>
              <w:top w:w="45" w:type="dxa"/>
              <w:left w:w="80" w:type="dxa"/>
              <w:bottom w:w="45" w:type="dxa"/>
              <w:right w:w="60" w:type="dxa"/>
            </w:tcMar>
            <w:vAlign w:val="top"/>
          </w:tcPr>
          <w:p>
            <w:pPr>
              <w:pStyle w:val="IGCell"/>
              <w:spacing w:after="0"/>
            </w:pPr>
            <w:r>
              <w:rPr>
                <w:rFonts w:ascii="Arial" w:hAnsi="Arial" w:cs="Arial" w:eastAsia="Arial"/>
                <w:color w:val="192E43"/>
                <w:sz w:val="16"/>
              </w:rPr>
              <w:t>OBJ-2</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High</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6"/>
              </w:rPr>
              <w:t>Sponsor files an amendment in Senate committee; homebuilder testimony increases.</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6"/>
              </w:rPr>
              <w:t>Coalition counts with the Association and Riverton. Prepared fallback: grandfather clause for existing standards.</w:t>
            </w:r>
          </w:p>
          <w:p>
            <w:pPr>
              <w:pStyle w:val="IGCell"/>
              <w:spacing w:after="0" w:before="40"/>
            </w:pPr>
            <w:r>
              <w:rPr>
                <w:rFonts w:ascii="Arial" w:hAnsi="Arial" w:cs="Arial" w:eastAsia="Arial"/>
                <w:color w:val="192E43"/>
                <w:sz w:val="16"/>
              </w:rPr>
              <w:t>Owner: Jordan Pike. Status: Open.</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6"/>
              </w:rPr>
              <w:t>RSK-07</w:t>
            </w:r>
          </w:p>
        </w:tc>
        <w:tc>
          <w:tcPr>
            <w:tcW w:type="dxa" w:w="2664"/>
            <w:tcMar>
              <w:top w:w="45" w:type="dxa"/>
              <w:left w:w="80" w:type="dxa"/>
              <w:bottom w:w="45" w:type="dxa"/>
              <w:right w:w="60" w:type="dxa"/>
            </w:tcMar>
            <w:vAlign w:val="top"/>
          </w:tcPr>
          <w:p>
            <w:pPr>
              <w:pStyle w:val="IGCell"/>
              <w:spacing w:after="0"/>
            </w:pPr>
            <w:r>
              <w:rPr>
                <w:rFonts w:ascii="Arial" w:hAnsi="Arial" w:cs="Arial" w:eastAsia="Arial"/>
                <w:color w:val="192E43"/>
                <w:sz w:val="16"/>
              </w:rPr>
              <w:t>The Three Fords Tribal Nation's engagement timeline does not align with the application schedule, or the Nation declines early engagement.</w:t>
            </w:r>
          </w:p>
        </w:tc>
        <w:tc>
          <w:tcPr>
            <w:tcW w:type="dxa" w:w="720"/>
            <w:tcMar>
              <w:top w:w="45" w:type="dxa"/>
              <w:left w:w="80" w:type="dxa"/>
              <w:bottom w:w="45" w:type="dxa"/>
              <w:right w:w="60" w:type="dxa"/>
            </w:tcMar>
            <w:vAlign w:val="top"/>
          </w:tcPr>
          <w:p>
            <w:pPr>
              <w:pStyle w:val="IGCell"/>
              <w:spacing w:after="0"/>
            </w:pPr>
            <w:r>
              <w:rPr>
                <w:rFonts w:ascii="Arial" w:hAnsi="Arial" w:cs="Arial" w:eastAsia="Arial"/>
                <w:color w:val="192E43"/>
                <w:sz w:val="16"/>
              </w:rPr>
              <w:t>OBJ-5</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Moderate</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6"/>
              </w:rPr>
              <w:t>Invitation letter unsent; no leader-level date set by May 7.</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6"/>
              </w:rPr>
              <w:t>Escalated for signature. Interim staff-level exchange through the Cultural Resources Department. Respect the Nation's channels and pace.</w:t>
            </w:r>
          </w:p>
          <w:p>
            <w:pPr>
              <w:pStyle w:val="IGCell"/>
              <w:spacing w:after="0" w:before="40"/>
            </w:pPr>
            <w:r>
              <w:rPr>
                <w:rFonts w:ascii="Arial" w:hAnsi="Arial" w:cs="Arial" w:eastAsia="Arial"/>
                <w:color w:val="192E43"/>
                <w:sz w:val="16"/>
              </w:rPr>
              <w:t>Owner: Elena Marsh. Status: Escalated.</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6"/>
              </w:rPr>
              <w:t>RSK-12</w:t>
            </w:r>
          </w:p>
        </w:tc>
        <w:tc>
          <w:tcPr>
            <w:tcW w:type="dxa" w:w="2664"/>
            <w:tcMar>
              <w:top w:w="45" w:type="dxa"/>
              <w:left w:w="80" w:type="dxa"/>
              <w:bottom w:w="45" w:type="dxa"/>
              <w:right w:w="60" w:type="dxa"/>
            </w:tcMar>
            <w:vAlign w:val="top"/>
          </w:tcPr>
          <w:p>
            <w:pPr>
              <w:pStyle w:val="IGCell"/>
              <w:spacing w:after="0"/>
            </w:pPr>
            <w:r>
              <w:rPr>
                <w:rFonts w:ascii="Arial" w:hAnsi="Arial" w:cs="Arial" w:eastAsia="Arial"/>
                <w:color w:val="192E43"/>
                <w:sz w:val="16"/>
              </w:rPr>
              <w:t>HB 530 reduces the county share of state road funds before local-option revenue arrives.</w:t>
            </w:r>
          </w:p>
        </w:tc>
        <w:tc>
          <w:tcPr>
            <w:tcW w:type="dxa" w:w="720"/>
            <w:tcMar>
              <w:top w:w="45" w:type="dxa"/>
              <w:left w:w="80" w:type="dxa"/>
              <w:bottom w:w="45" w:type="dxa"/>
              <w:right w:w="60" w:type="dxa"/>
            </w:tcMar>
            <w:vAlign w:val="top"/>
          </w:tcPr>
          <w:p>
            <w:pPr>
              <w:pStyle w:val="IGCell"/>
              <w:spacing w:after="0"/>
            </w:pPr>
            <w:r>
              <w:rPr>
                <w:rFonts w:ascii="Arial" w:hAnsi="Arial" w:cs="Arial" w:eastAsia="Arial"/>
                <w:color w:val="192E43"/>
                <w:sz w:val="16"/>
              </w:rPr>
              <w:t>OBJ-1</w:t>
            </w:r>
          </w:p>
        </w:tc>
        <w:tc>
          <w:tcPr>
            <w:tcW w:type="dxa" w:w="1008"/>
            <w:tcMar>
              <w:top w:w="45" w:type="dxa"/>
              <w:left w:w="80" w:type="dxa"/>
              <w:bottom w:w="45" w:type="dxa"/>
              <w:right w:w="60" w:type="dxa"/>
            </w:tcMar>
            <w:vAlign w:val="top"/>
          </w:tcPr>
          <w:p>
            <w:pPr>
              <w:pStyle w:val="IGCell"/>
              <w:spacing w:after="0"/>
            </w:pPr>
            <w:r>
              <w:rPr>
                <w:rFonts w:ascii="Arial" w:hAnsi="Arial" w:cs="Arial" w:eastAsia="Arial"/>
                <w:color w:val="192E43"/>
                <w:sz w:val="16"/>
              </w:rPr>
              <w:t>High</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6"/>
              </w:rPr>
              <w:t>Hearing scheduled; Budget Office estimate shows a reduction above the Board's threshold.</w:t>
            </w:r>
          </w:p>
        </w:tc>
        <w:tc>
          <w:tcPr>
            <w:tcW w:type="dxa" w:w="2304"/>
            <w:tcMar>
              <w:top w:w="45" w:type="dxa"/>
              <w:left w:w="80" w:type="dxa"/>
              <w:bottom w:w="45" w:type="dxa"/>
              <w:right w:w="60" w:type="dxa"/>
            </w:tcMar>
            <w:vAlign w:val="top"/>
          </w:tcPr>
          <w:p>
            <w:pPr>
              <w:pStyle w:val="IGCell"/>
              <w:spacing w:after="0"/>
            </w:pPr>
            <w:r>
              <w:rPr>
                <w:rFonts w:ascii="Arial" w:hAnsi="Arial" w:cs="Arial" w:eastAsia="Arial"/>
                <w:color w:val="192E43"/>
                <w:sz w:val="16"/>
              </w:rPr>
              <w:t>Budget Office estimate. Position from the Deputy County Executive. Coalition alignment through the Association.</w:t>
            </w:r>
          </w:p>
          <w:p>
            <w:pPr>
              <w:pStyle w:val="IGCell"/>
              <w:spacing w:after="0" w:before="40"/>
            </w:pPr>
            <w:r>
              <w:rPr>
                <w:rFonts w:ascii="Arial" w:hAnsi="Arial" w:cs="Arial" w:eastAsia="Arial"/>
                <w:color w:val="192E43"/>
                <w:sz w:val="16"/>
              </w:rPr>
              <w:t>Owner: Jordan Pike. Status: Escalated.</w:t>
            </w:r>
          </w:p>
        </w:tc>
      </w:tr>
    </w:tbl>
    <w:p>
      <w:pPr>
        <w:spacing w:after="80" w:line="144" w:lineRule="auto"/>
      </w:pPr>
    </w:p>
    <w:p>
      <w:pPr>
        <w:pStyle w:val="Heading2"/>
      </w:pPr>
      <w:r>
        <w:t>10.2 Constraints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448"/>
        <w:gridCol w:w="3456"/>
        <w:gridCol w:w="3744"/>
      </w:tblGrid>
      <w:tr>
        <w:trPr>
          <w:tblHeader w:val="true"/>
          <w:cantSplit w:val="true"/>
        </w:trPr>
        <w:tc>
          <w:tcPr>
            <w:tcW w:type="dxa" w:w="244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Constraint</w:t>
            </w:r>
          </w:p>
        </w:tc>
        <w:tc>
          <w:tcPr>
            <w:tcW w:type="dxa" w:w="345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Effect on the plan</w:t>
            </w:r>
          </w:p>
        </w:tc>
        <w:tc>
          <w:tcPr>
            <w:tcW w:type="dxa" w:w="374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How the plan works around it</w:t>
            </w:r>
          </w:p>
        </w:tc>
      </w:tr>
      <w:tr>
        <w:trPr>
          <w:cantSplit w:val="true"/>
        </w:trPr>
        <w:tc>
          <w:tcPr>
            <w:tcW w:type="dxa" w:w="2448"/>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Fixed session calendar</w:t>
            </w:r>
          </w:p>
        </w:tc>
        <w:tc>
          <w:tcPr>
            <w:tcW w:type="dxa" w:w="3456"/>
            <w:tcMar>
              <w:top w:w="45" w:type="dxa"/>
              <w:left w:w="80" w:type="dxa"/>
              <w:bottom w:w="45" w:type="dxa"/>
              <w:right w:w="60" w:type="dxa"/>
            </w:tcMar>
            <w:vAlign w:val="top"/>
          </w:tcPr>
          <w:p>
            <w:pPr>
              <w:pStyle w:val="IGCell"/>
              <w:keepNext/>
              <w:spacing w:after="0"/>
            </w:pPr>
            <w:r>
              <w:rPr>
                <w:rFonts w:ascii="Arial" w:hAnsi="Arial" w:cs="Arial" w:eastAsia="Arial"/>
                <w:color w:val="192E43"/>
                <w:sz w:val="17"/>
              </w:rPr>
              <w:t>Legislative dates cannot move. Final passage must occur by Apr 29.</w:t>
            </w:r>
          </w:p>
        </w:tc>
        <w:tc>
          <w:tcPr>
            <w:tcW w:type="dxa" w:w="3744"/>
            <w:tcMar>
              <w:top w:w="45" w:type="dxa"/>
              <w:left w:w="80" w:type="dxa"/>
              <w:bottom w:w="45" w:type="dxa"/>
              <w:right w:w="60" w:type="dxa"/>
            </w:tcMar>
            <w:vAlign w:val="top"/>
          </w:tcPr>
          <w:p>
            <w:pPr>
              <w:pStyle w:val="IGCell"/>
              <w:keepNext/>
              <w:spacing w:after="0"/>
            </w:pPr>
            <w:r>
              <w:rPr>
                <w:rFonts w:ascii="Arial" w:hAnsi="Arial" w:cs="Arial" w:eastAsia="Arial"/>
                <w:color w:val="192E43"/>
                <w:sz w:val="17"/>
              </w:rPr>
              <w:t>Legislative milestones carry fixed external dates. Testimony prepared one week ahead.</w:t>
            </w:r>
          </w:p>
        </w:tc>
      </w:tr>
      <w:tr>
        <w:trPr>
          <w:cantSplit w:val="true"/>
        </w:trPr>
        <w:tc>
          <w:tcPr>
            <w:tcW w:type="dxa" w:w="2448"/>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Staff of four</w:t>
            </w:r>
          </w:p>
        </w:tc>
        <w:tc>
          <w:tcPr>
            <w:tcW w:type="dxa" w:w="3456"/>
            <w:tcMar>
              <w:top w:w="45" w:type="dxa"/>
              <w:left w:w="80" w:type="dxa"/>
              <w:bottom w:w="45" w:type="dxa"/>
              <w:right w:w="60" w:type="dxa"/>
            </w:tcMar>
            <w:vAlign w:val="top"/>
          </w:tcPr>
          <w:p>
            <w:pPr>
              <w:pStyle w:val="IGCell"/>
              <w:keepNext/>
              <w:spacing w:after="0"/>
            </w:pPr>
            <w:r>
              <w:rPr>
                <w:rFonts w:ascii="Arial" w:hAnsi="Arial" w:cs="Arial" w:eastAsia="Arial"/>
                <w:color w:val="192E43"/>
                <w:sz w:val="17"/>
              </w:rPr>
              <w:t>No capacity to add priorities during session.</w:t>
            </w:r>
          </w:p>
        </w:tc>
        <w:tc>
          <w:tcPr>
            <w:tcW w:type="dxa" w:w="3744"/>
            <w:tcMar>
              <w:top w:w="45" w:type="dxa"/>
              <w:left w:w="80" w:type="dxa"/>
              <w:bottom w:w="45" w:type="dxa"/>
              <w:right w:w="60" w:type="dxa"/>
            </w:tcMar>
            <w:vAlign w:val="top"/>
          </w:tcPr>
          <w:p>
            <w:pPr>
              <w:pStyle w:val="IGCell"/>
              <w:keepNext/>
              <w:spacing w:after="0"/>
            </w:pPr>
            <w:r>
              <w:rPr>
                <w:rFonts w:ascii="Arial" w:hAnsi="Arial" w:cs="Arial" w:eastAsia="Arial"/>
                <w:color w:val="192E43"/>
                <w:sz w:val="17"/>
              </w:rPr>
              <w:t>Mid-year adjustment decision on Jul 22 is the first point at which scope can change.</w:t>
            </w:r>
          </w:p>
        </w:tc>
      </w:tr>
      <w:tr>
        <w:trPr>
          <w:cantSplit w:val="true"/>
        </w:trPr>
        <w:tc>
          <w:tcPr>
            <w:tcW w:type="dxa" w:w="2448"/>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No contract lobbyist</w:t>
            </w:r>
          </w:p>
        </w:tc>
        <w:tc>
          <w:tcPr>
            <w:tcW w:type="dxa" w:w="3456"/>
            <w:tcMar>
              <w:top w:w="45" w:type="dxa"/>
              <w:left w:w="80" w:type="dxa"/>
              <w:bottom w:w="45" w:type="dxa"/>
              <w:right w:w="60" w:type="dxa"/>
            </w:tcMar>
            <w:vAlign w:val="top"/>
          </w:tcPr>
          <w:p>
            <w:pPr>
              <w:pStyle w:val="IGCell"/>
              <w:keepNext/>
              <w:spacing w:after="0"/>
            </w:pPr>
            <w:r>
              <w:rPr>
                <w:rFonts w:ascii="Arial" w:hAnsi="Arial" w:cs="Arial" w:eastAsia="Arial"/>
                <w:color w:val="192E43"/>
                <w:sz w:val="17"/>
              </w:rPr>
              <w:t>Statewide coalition work depends on the Association.</w:t>
            </w:r>
          </w:p>
        </w:tc>
        <w:tc>
          <w:tcPr>
            <w:tcW w:type="dxa" w:w="3744"/>
            <w:tcMar>
              <w:top w:w="45" w:type="dxa"/>
              <w:left w:w="80" w:type="dxa"/>
              <w:bottom w:w="45" w:type="dxa"/>
              <w:right w:w="60" w:type="dxa"/>
            </w:tcMar>
            <w:vAlign w:val="top"/>
          </w:tcPr>
          <w:p>
            <w:pPr>
              <w:pStyle w:val="IGCell"/>
              <w:keepNext/>
              <w:spacing w:after="0"/>
            </w:pPr>
            <w:r>
              <w:rPr>
                <w:rFonts w:ascii="Arial" w:hAnsi="Arial" w:cs="Arial" w:eastAsia="Arial"/>
                <w:color w:val="192E43"/>
                <w:sz w:val="17"/>
              </w:rPr>
              <w:t>Association carries the statewide message. The County carries the bridge case.</w:t>
            </w:r>
          </w:p>
        </w:tc>
      </w:tr>
      <w:tr>
        <w:trPr>
          <w:cantSplit w:val="true"/>
        </w:trPr>
        <w:tc>
          <w:tcPr>
            <w:tcW w:type="dxa" w:w="2448"/>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Clearance before communication</w:t>
            </w:r>
          </w:p>
        </w:tc>
        <w:tc>
          <w:tcPr>
            <w:tcW w:type="dxa" w:w="3456"/>
            <w:tcMar>
              <w:top w:w="45" w:type="dxa"/>
              <w:left w:w="80" w:type="dxa"/>
              <w:bottom w:w="45" w:type="dxa"/>
              <w:right w:w="60" w:type="dxa"/>
            </w:tcMar>
            <w:vAlign w:val="top"/>
          </w:tcPr>
          <w:p>
            <w:pPr>
              <w:pStyle w:val="IGCell"/>
              <w:keepNext/>
              <w:spacing w:after="0"/>
            </w:pPr>
            <w:r>
              <w:rPr>
                <w:rFonts w:ascii="Arial" w:hAnsi="Arial" w:cs="Arial" w:eastAsia="Arial"/>
                <w:color w:val="192E43"/>
                <w:sz w:val="17"/>
              </w:rPr>
              <w:t>No position may be used outside the County until cleared.</w:t>
            </w:r>
          </w:p>
        </w:tc>
        <w:tc>
          <w:tcPr>
            <w:tcW w:type="dxa" w:w="3744"/>
            <w:tcMar>
              <w:top w:w="45" w:type="dxa"/>
              <w:left w:w="80" w:type="dxa"/>
              <w:bottom w:w="45" w:type="dxa"/>
              <w:right w:w="60" w:type="dxa"/>
            </w:tcMar>
            <w:vAlign w:val="top"/>
          </w:tcPr>
          <w:p>
            <w:pPr>
              <w:pStyle w:val="IGCell"/>
              <w:keepNext/>
              <w:spacing w:after="0"/>
            </w:pPr>
            <w:r>
              <w:rPr>
                <w:rFonts w:ascii="Arial" w:hAnsi="Arial" w:cs="Arial" w:eastAsia="Arial"/>
                <w:color w:val="192E43"/>
                <w:sz w:val="17"/>
              </w:rPr>
              <w:t>48-hour clearance standard in session. Weekly decision list shows pending items.</w:t>
            </w:r>
          </w:p>
        </w:tc>
      </w:tr>
      <w:tr>
        <w:trPr>
          <w:cantSplit w:val="true"/>
        </w:trPr>
        <w:tc>
          <w:tcPr>
            <w:tcW w:type="dxa" w:w="2448"/>
            <w:tcMar>
              <w:top w:w="45" w:type="dxa"/>
              <w:left w:w="80" w:type="dxa"/>
              <w:bottom w:w="45" w:type="dxa"/>
              <w:right w:w="60" w:type="dxa"/>
            </w:tcMar>
            <w:vAlign w:val="top"/>
          </w:tcPr>
          <w:p>
            <w:pPr>
              <w:pStyle w:val="IGCell"/>
              <w:spacing w:after="0"/>
            </w:pPr>
            <w:r>
              <w:rPr>
                <w:rFonts w:ascii="Arial" w:hAnsi="Arial" w:cs="Arial" w:eastAsia="Arial"/>
                <w:b/>
                <w:color w:val="192E43"/>
                <w:sz w:val="17"/>
              </w:rPr>
              <w:t>Leader-level contact with a Tribal Nation</w:t>
            </w:r>
          </w:p>
        </w:tc>
        <w:tc>
          <w:tcPr>
            <w:tcW w:type="dxa" w:w="3456"/>
            <w:tcMar>
              <w:top w:w="45" w:type="dxa"/>
              <w:left w:w="80" w:type="dxa"/>
              <w:bottom w:w="45" w:type="dxa"/>
              <w:right w:w="60" w:type="dxa"/>
            </w:tcMar>
            <w:vAlign w:val="top"/>
          </w:tcPr>
          <w:p>
            <w:pPr>
              <w:pStyle w:val="IGCell"/>
              <w:spacing w:after="0"/>
            </w:pPr>
            <w:r>
              <w:rPr>
                <w:rFonts w:ascii="Arial" w:hAnsi="Arial" w:cs="Arial" w:eastAsia="Arial"/>
                <w:color w:val="192E43"/>
                <w:sz w:val="17"/>
              </w:rPr>
              <w:t>Requires the County Executive.</w:t>
            </w:r>
          </w:p>
        </w:tc>
        <w:tc>
          <w:tcPr>
            <w:tcW w:type="dxa" w:w="3744"/>
            <w:tcMar>
              <w:top w:w="45" w:type="dxa"/>
              <w:left w:w="80" w:type="dxa"/>
              <w:bottom w:w="45" w:type="dxa"/>
              <w:right w:w="60" w:type="dxa"/>
            </w:tcMar>
            <w:vAlign w:val="top"/>
          </w:tcPr>
          <w:p>
            <w:pPr>
              <w:pStyle w:val="IGCell"/>
              <w:spacing w:after="0"/>
            </w:pPr>
            <w:r>
              <w:rPr>
                <w:rFonts w:ascii="Arial" w:hAnsi="Arial" w:cs="Arial" w:eastAsia="Arial"/>
                <w:color w:val="192E43"/>
                <w:sz w:val="17"/>
              </w:rPr>
              <w:t>Staff-level exchange continues. Invitation letter escalated.</w:t>
            </w:r>
          </w:p>
        </w:tc>
      </w:tr>
    </w:tbl>
    <w:p>
      <w:pPr>
        <w:spacing w:after="80" w:line="144" w:lineRule="auto"/>
      </w:pPr>
    </w:p>
    <w:p>
      <w:pPr>
        <w:pStyle w:val="Heading2"/>
      </w:pPr>
      <w:r>
        <w:t>10.3 Escalation protocol</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880"/>
        <w:gridCol w:w="1728"/>
        <w:gridCol w:w="1152"/>
        <w:gridCol w:w="1728"/>
        <w:gridCol w:w="2160"/>
      </w:tblGrid>
      <w:tr>
        <w:trPr>
          <w:tblHeader w:val="true"/>
          <w:cantSplit w:val="true"/>
        </w:trPr>
        <w:tc>
          <w:tcPr>
            <w:tcW w:type="dxa" w:w="288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Trigger</w:t>
            </w:r>
          </w:p>
        </w:tc>
        <w:tc>
          <w:tcPr>
            <w:tcW w:type="dxa" w:w="172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Escalate to</w:t>
            </w:r>
          </w:p>
        </w:tc>
        <w:tc>
          <w:tcPr>
            <w:tcW w:type="dxa" w:w="115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Within</w:t>
            </w:r>
          </w:p>
        </w:tc>
        <w:tc>
          <w:tcPr>
            <w:tcW w:type="dxa" w:w="172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Form</w:t>
            </w:r>
          </w:p>
        </w:tc>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Decision wanted</w:t>
            </w:r>
          </w:p>
        </w:tc>
      </w:tr>
      <w:tr>
        <w:trPr>
          <w:cantSplit w:val="true"/>
        </w:trPr>
        <w:tc>
          <w:tcPr>
            <w:tcW w:type="dxa" w:w="288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A fixed external date is at risk of being missed</w:t>
            </w:r>
          </w:p>
        </w:tc>
        <w:tc>
          <w:tcPr>
            <w:tcW w:type="dxa" w:w="1728"/>
            <w:tcMar>
              <w:top w:w="45" w:type="dxa"/>
              <w:left w:w="80" w:type="dxa"/>
              <w:bottom w:w="45" w:type="dxa"/>
              <w:right w:w="60" w:type="dxa"/>
            </w:tcMar>
            <w:vAlign w:val="top"/>
          </w:tcPr>
          <w:p>
            <w:pPr>
              <w:pStyle w:val="IGCell"/>
              <w:keepNext/>
              <w:spacing w:after="0"/>
            </w:pPr>
            <w:r>
              <w:rPr>
                <w:rFonts w:ascii="Arial" w:hAnsi="Arial" w:cs="Arial" w:eastAsia="Arial"/>
                <w:color w:val="192E43"/>
                <w:sz w:val="17"/>
              </w:rPr>
              <w:t>Executive Sponsor</w:t>
            </w:r>
          </w:p>
        </w:tc>
        <w:tc>
          <w:tcPr>
            <w:tcW w:type="dxa" w:w="11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2 business days</w:t>
            </w:r>
          </w:p>
        </w:tc>
        <w:tc>
          <w:tcPr>
            <w:tcW w:type="dxa" w:w="1728"/>
            <w:tcMar>
              <w:top w:w="45" w:type="dxa"/>
              <w:left w:w="80" w:type="dxa"/>
              <w:bottom w:w="45" w:type="dxa"/>
              <w:right w:w="60" w:type="dxa"/>
            </w:tcMar>
            <w:vAlign w:val="top"/>
          </w:tcPr>
          <w:p>
            <w:pPr>
              <w:pStyle w:val="IGCell"/>
              <w:keepNext/>
              <w:spacing w:after="0"/>
            </w:pPr>
            <w:r>
              <w:rPr>
                <w:rFonts w:ascii="Arial" w:hAnsi="Arial" w:cs="Arial" w:eastAsia="Arial"/>
                <w:color w:val="192E43"/>
                <w:sz w:val="17"/>
              </w:rPr>
              <w:t>Decision list entry and call</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Reallocate effort or change the date.</w:t>
            </w:r>
          </w:p>
        </w:tc>
      </w:tr>
      <w:tr>
        <w:trPr>
          <w:cantSplit w:val="true"/>
        </w:trPr>
        <w:tc>
          <w:tcPr>
            <w:tcW w:type="dxa" w:w="288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A government takes a position contrary to the County's cleared position</w:t>
            </w:r>
          </w:p>
        </w:tc>
        <w:tc>
          <w:tcPr>
            <w:tcW w:type="dxa" w:w="1728"/>
            <w:tcMar>
              <w:top w:w="45" w:type="dxa"/>
              <w:left w:w="80" w:type="dxa"/>
              <w:bottom w:w="45" w:type="dxa"/>
              <w:right w:w="60" w:type="dxa"/>
            </w:tcMar>
            <w:vAlign w:val="top"/>
          </w:tcPr>
          <w:p>
            <w:pPr>
              <w:pStyle w:val="IGCell"/>
              <w:keepNext/>
              <w:spacing w:after="0"/>
            </w:pPr>
            <w:r>
              <w:rPr>
                <w:rFonts w:ascii="Arial" w:hAnsi="Arial" w:cs="Arial" w:eastAsia="Arial"/>
                <w:color w:val="192E43"/>
                <w:sz w:val="17"/>
              </w:rPr>
              <w:t>Executive Sponsor</w:t>
            </w:r>
          </w:p>
        </w:tc>
        <w:tc>
          <w:tcPr>
            <w:tcW w:type="dxa" w:w="11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1 business day</w:t>
            </w:r>
          </w:p>
        </w:tc>
        <w:tc>
          <w:tcPr>
            <w:tcW w:type="dxa" w:w="1728"/>
            <w:tcMar>
              <w:top w:w="45" w:type="dxa"/>
              <w:left w:w="80" w:type="dxa"/>
              <w:bottom w:w="45" w:type="dxa"/>
              <w:right w:w="60" w:type="dxa"/>
            </w:tcMar>
            <w:vAlign w:val="top"/>
          </w:tcPr>
          <w:p>
            <w:pPr>
              <w:pStyle w:val="IGCell"/>
              <w:keepNext/>
              <w:spacing w:after="0"/>
            </w:pPr>
            <w:r>
              <w:rPr>
                <w:rFonts w:ascii="Arial" w:hAnsi="Arial" w:cs="Arial" w:eastAsia="Arial"/>
                <w:color w:val="192E43"/>
                <w:sz w:val="17"/>
              </w:rPr>
              <w:t>Call, then memo</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Restate the cleared position or revise it.</w:t>
            </w:r>
          </w:p>
        </w:tc>
      </w:tr>
      <w:tr>
        <w:trPr>
          <w:cantSplit w:val="true"/>
        </w:trPr>
        <w:tc>
          <w:tcPr>
            <w:tcW w:type="dxa" w:w="288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A partner delays or declines a commitment the plan depends on</w:t>
            </w:r>
          </w:p>
        </w:tc>
        <w:tc>
          <w:tcPr>
            <w:tcW w:type="dxa" w:w="1728"/>
            <w:tcMar>
              <w:top w:w="45" w:type="dxa"/>
              <w:left w:w="80" w:type="dxa"/>
              <w:bottom w:w="45" w:type="dxa"/>
              <w:right w:w="60" w:type="dxa"/>
            </w:tcMar>
            <w:vAlign w:val="top"/>
          </w:tcPr>
          <w:p>
            <w:pPr>
              <w:pStyle w:val="IGCell"/>
              <w:keepNext/>
              <w:spacing w:after="0"/>
            </w:pPr>
            <w:r>
              <w:rPr>
                <w:rFonts w:ascii="Arial" w:hAnsi="Arial" w:cs="Arial" w:eastAsia="Arial"/>
                <w:color w:val="192E43"/>
                <w:sz w:val="17"/>
              </w:rPr>
              <w:t>Executive Sponsor</w:t>
            </w:r>
          </w:p>
        </w:tc>
        <w:tc>
          <w:tcPr>
            <w:tcW w:type="dxa" w:w="11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5 business days</w:t>
            </w:r>
          </w:p>
        </w:tc>
        <w:tc>
          <w:tcPr>
            <w:tcW w:type="dxa" w:w="1728"/>
            <w:tcMar>
              <w:top w:w="45" w:type="dxa"/>
              <w:left w:w="80" w:type="dxa"/>
              <w:bottom w:w="45" w:type="dxa"/>
              <w:right w:w="60" w:type="dxa"/>
            </w:tcMar>
            <w:vAlign w:val="top"/>
          </w:tcPr>
          <w:p>
            <w:pPr>
              <w:pStyle w:val="IGCell"/>
              <w:keepNext/>
              <w:spacing w:after="0"/>
            </w:pPr>
            <w:r>
              <w:rPr>
                <w:rFonts w:ascii="Arial" w:hAnsi="Arial" w:cs="Arial" w:eastAsia="Arial"/>
                <w:color w:val="192E43"/>
                <w:sz w:val="17"/>
              </w:rPr>
              <w:t>One-page memo</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Authorize terms, a deadline, or a different partner.</w:t>
            </w:r>
          </w:p>
        </w:tc>
      </w:tr>
      <w:tr>
        <w:trPr>
          <w:cantSplit w:val="true"/>
        </w:trPr>
        <w:tc>
          <w:tcPr>
            <w:tcW w:type="dxa" w:w="288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A new bill or rule threatens an objective</w:t>
            </w:r>
          </w:p>
        </w:tc>
        <w:tc>
          <w:tcPr>
            <w:tcW w:type="dxa" w:w="1728"/>
            <w:tcMar>
              <w:top w:w="45" w:type="dxa"/>
              <w:left w:w="80" w:type="dxa"/>
              <w:bottom w:w="45" w:type="dxa"/>
              <w:right w:w="60" w:type="dxa"/>
            </w:tcMar>
            <w:vAlign w:val="top"/>
          </w:tcPr>
          <w:p>
            <w:pPr>
              <w:pStyle w:val="IGCell"/>
              <w:keepNext/>
              <w:spacing w:after="0"/>
            </w:pPr>
            <w:r>
              <w:rPr>
                <w:rFonts w:ascii="Arial" w:hAnsi="Arial" w:cs="Arial" w:eastAsia="Arial"/>
                <w:color w:val="192E43"/>
                <w:sz w:val="17"/>
              </w:rPr>
              <w:t>Executive Sponsor</w:t>
            </w:r>
          </w:p>
        </w:tc>
        <w:tc>
          <w:tcPr>
            <w:tcW w:type="dxa" w:w="1152"/>
            <w:tcMar>
              <w:top w:w="45" w:type="dxa"/>
              <w:left w:w="80" w:type="dxa"/>
              <w:bottom w:w="45" w:type="dxa"/>
              <w:right w:w="60" w:type="dxa"/>
            </w:tcMar>
            <w:vAlign w:val="top"/>
          </w:tcPr>
          <w:p>
            <w:pPr>
              <w:pStyle w:val="IGCell"/>
              <w:keepNext/>
              <w:spacing w:after="0"/>
            </w:pPr>
            <w:r>
              <w:rPr>
                <w:rFonts w:ascii="Arial" w:hAnsi="Arial" w:cs="Arial" w:eastAsia="Arial"/>
                <w:color w:val="192E43"/>
                <w:sz w:val="17"/>
              </w:rPr>
              <w:t>2 business days</w:t>
            </w:r>
          </w:p>
        </w:tc>
        <w:tc>
          <w:tcPr>
            <w:tcW w:type="dxa" w:w="1728"/>
            <w:tcMar>
              <w:top w:w="45" w:type="dxa"/>
              <w:left w:w="80" w:type="dxa"/>
              <w:bottom w:w="45" w:type="dxa"/>
              <w:right w:w="60" w:type="dxa"/>
            </w:tcMar>
            <w:vAlign w:val="top"/>
          </w:tcPr>
          <w:p>
            <w:pPr>
              <w:pStyle w:val="IGCell"/>
              <w:keepNext/>
              <w:spacing w:after="0"/>
            </w:pPr>
            <w:r>
              <w:rPr>
                <w:rFonts w:ascii="Arial" w:hAnsi="Arial" w:cs="Arial" w:eastAsia="Arial"/>
                <w:color w:val="192E43"/>
                <w:sz w:val="17"/>
              </w:rPr>
              <w:t>Decision list entry</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Set a position or request an impact estimate.</w:t>
            </w:r>
          </w:p>
        </w:tc>
      </w:tr>
      <w:tr>
        <w:trPr>
          <w:cantSplit w:val="true"/>
        </w:trPr>
        <w:tc>
          <w:tcPr>
            <w:tcW w:type="dxa" w:w="2880"/>
            <w:tcMar>
              <w:top w:w="45" w:type="dxa"/>
              <w:left w:w="80" w:type="dxa"/>
              <w:bottom w:w="45" w:type="dxa"/>
              <w:right w:w="60" w:type="dxa"/>
            </w:tcMar>
            <w:vAlign w:val="top"/>
          </w:tcPr>
          <w:p>
            <w:pPr>
              <w:pStyle w:val="IGCell"/>
              <w:spacing w:after="0"/>
            </w:pPr>
            <w:r>
              <w:rPr>
                <w:rFonts w:ascii="Arial" w:hAnsi="Arial" w:cs="Arial" w:eastAsia="Arial"/>
                <w:b/>
                <w:color w:val="192E43"/>
                <w:sz w:val="17"/>
              </w:rPr>
              <w:t>A request for a County position arrives that has not been cleared</w:t>
            </w:r>
          </w:p>
        </w:tc>
        <w:tc>
          <w:tcPr>
            <w:tcW w:type="dxa" w:w="1728"/>
            <w:tcMar>
              <w:top w:w="45" w:type="dxa"/>
              <w:left w:w="80" w:type="dxa"/>
              <w:bottom w:w="45" w:type="dxa"/>
              <w:right w:w="60" w:type="dxa"/>
            </w:tcMar>
            <w:vAlign w:val="top"/>
          </w:tcPr>
          <w:p>
            <w:pPr>
              <w:pStyle w:val="IGCell"/>
              <w:spacing w:after="0"/>
            </w:pPr>
            <w:r>
              <w:rPr>
                <w:rFonts w:ascii="Arial" w:hAnsi="Arial" w:cs="Arial" w:eastAsia="Arial"/>
                <w:color w:val="192E43"/>
                <w:sz w:val="17"/>
              </w:rPr>
              <w:t>Deputy County Executive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7"/>
              </w:rPr>
              <w:t>Same day in session</w:t>
            </w:r>
          </w:p>
        </w:tc>
        <w:tc>
          <w:tcPr>
            <w:tcW w:type="dxa" w:w="1728"/>
            <w:tcMar>
              <w:top w:w="45" w:type="dxa"/>
              <w:left w:w="80" w:type="dxa"/>
              <w:bottom w:w="45" w:type="dxa"/>
              <w:right w:w="60" w:type="dxa"/>
            </w:tcMar>
            <w:vAlign w:val="top"/>
          </w:tcPr>
          <w:p>
            <w:pPr>
              <w:pStyle w:val="IGCell"/>
              <w:spacing w:after="0"/>
            </w:pPr>
            <w:r>
              <w:rPr>
                <w:rFonts w:ascii="Arial" w:hAnsi="Arial" w:cs="Arial" w:eastAsia="Arial"/>
                <w:color w:val="192E43"/>
                <w:sz w:val="17"/>
              </w:rPr>
              <w:t>Clearance request</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7"/>
              </w:rPr>
              <w:t>Clear, revise, or decline to take a position.</w:t>
            </w:r>
          </w:p>
        </w:tc>
      </w:tr>
    </w:tbl>
    <w:p>
      <w:pPr>
        <w:spacing w:after="80" w:line="144" w:lineRule="auto"/>
      </w:pPr>
    </w:p>
    <w:p>
      <w:pPr>
        <w:pStyle w:val="Heading2"/>
      </w:pPr>
      <w:r>
        <w:t>10.4 Escalation summary</w:t>
      </w:r>
    </w:p>
    <w:p>
      <w:pPr>
        <w:pStyle w:val="IGSmall"/>
        <w:keepNext/>
      </w:pPr>
      <w:r>
        <w:rPr>
          <w:rFonts w:ascii="Arial" w:hAnsi="Arial" w:cs="Arial" w:eastAsia="Arial"/>
        </w:rPr>
        <w:t>All five first-quarter escalations. Each is a record in the tracker's Escalations sheet.</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792"/>
        <w:gridCol w:w="3384"/>
        <w:gridCol w:w="1296"/>
        <w:gridCol w:w="2376"/>
        <w:gridCol w:w="1800"/>
      </w:tblGrid>
      <w:tr>
        <w:trPr>
          <w:tblHeader w:val="true"/>
          <w:cantSplit w:val="true"/>
        </w:trPr>
        <w:tc>
          <w:tcPr>
            <w:tcW w:type="dxa" w:w="79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ID</w:t>
            </w:r>
          </w:p>
        </w:tc>
        <w:tc>
          <w:tcPr>
            <w:tcW w:type="dxa" w:w="338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Raised and issue</w:t>
            </w:r>
          </w:p>
        </w:tc>
        <w:tc>
          <w:tcPr>
            <w:tcW w:type="dxa" w:w="129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To</w:t>
            </w:r>
          </w:p>
        </w:tc>
        <w:tc>
          <w:tcPr>
            <w:tcW w:type="dxa" w:w="237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Decision requested and due</w:t>
            </w:r>
          </w:p>
        </w:tc>
        <w:tc>
          <w:tcPr>
            <w:tcW w:type="dxa" w:w="180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Outcome</w:t>
            </w:r>
          </w:p>
        </w:tc>
      </w:tr>
      <w:tr>
        <w:trPr>
          <w:cantSplit w:val="true"/>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6"/>
              </w:rPr>
              <w:t>ESC-01</w:t>
            </w:r>
          </w:p>
        </w:tc>
        <w:tc>
          <w:tcPr>
            <w:tcW w:type="dxa" w:w="3384"/>
            <w:tcMar>
              <w:top w:w="45" w:type="dxa"/>
              <w:left w:w="80" w:type="dxa"/>
              <w:bottom w:w="45" w:type="dxa"/>
              <w:right w:w="60" w:type="dxa"/>
            </w:tcMar>
            <w:vAlign w:val="top"/>
          </w:tcPr>
          <w:p>
            <w:pPr>
              <w:pStyle w:val="IGCell"/>
              <w:keepNext/>
              <w:spacing w:after="0"/>
            </w:pPr>
            <w:r>
              <w:rPr>
                <w:rFonts w:ascii="Arial" w:hAnsi="Arial" w:cs="Arial" w:eastAsia="Arial"/>
                <w:color w:val="192E43"/>
                <w:sz w:val="16"/>
              </w:rPr>
              <w:t>Mar 18, 2027. Riverton and the County are deadlocked on bridge cost allocation. Term sheet cannot proceed without a County negotiating range.</w:t>
            </w:r>
          </w:p>
        </w:tc>
        <w:tc>
          <w:tcPr>
            <w:tcW w:type="dxa" w:w="1296"/>
            <w:tcMar>
              <w:top w:w="45" w:type="dxa"/>
              <w:left w:w="80" w:type="dxa"/>
              <w:bottom w:w="45" w:type="dxa"/>
              <w:right w:w="60" w:type="dxa"/>
            </w:tcMar>
            <w:vAlign w:val="top"/>
          </w:tcPr>
          <w:p>
            <w:pPr>
              <w:pStyle w:val="IGCell"/>
              <w:keepNext/>
              <w:spacing w:after="0"/>
            </w:pPr>
            <w:r>
              <w:rPr>
                <w:rFonts w:ascii="Arial" w:hAnsi="Arial" w:cs="Arial" w:eastAsia="Arial"/>
                <w:color w:val="192E43"/>
                <w:sz w:val="16"/>
              </w:rPr>
              <w:t>Executive Sponsor</w:t>
            </w:r>
          </w:p>
        </w:tc>
        <w:tc>
          <w:tcPr>
            <w:tcW w:type="dxa" w:w="2376"/>
            <w:tcMar>
              <w:top w:w="45" w:type="dxa"/>
              <w:left w:w="80" w:type="dxa"/>
              <w:bottom w:w="45" w:type="dxa"/>
              <w:right w:w="60" w:type="dxa"/>
            </w:tcMar>
            <w:vAlign w:val="top"/>
          </w:tcPr>
          <w:p>
            <w:pPr>
              <w:pStyle w:val="IGCell"/>
              <w:keepNext/>
              <w:spacing w:after="0"/>
            </w:pPr>
            <w:r>
              <w:rPr>
                <w:rFonts w:ascii="Arial" w:hAnsi="Arial" w:cs="Arial" w:eastAsia="Arial"/>
                <w:color w:val="192E43"/>
                <w:sz w:val="16"/>
              </w:rPr>
              <w:t>Authorize a negotiating range for the County share of the nonfederal match.</w:t>
            </w:r>
          </w:p>
          <w:p>
            <w:pPr>
              <w:pStyle w:val="IGCell"/>
              <w:keepNext/>
              <w:spacing w:after="0" w:before="40"/>
            </w:pPr>
            <w:r>
              <w:rPr>
                <w:rFonts w:ascii="Arial" w:hAnsi="Arial" w:cs="Arial" w:eastAsia="Arial"/>
                <w:color w:val="192E43"/>
                <w:sz w:val="16"/>
              </w:rPr>
              <w:t>Due Apr 2, 2027</w:t>
            </w:r>
          </w:p>
        </w:tc>
        <w:tc>
          <w:tcPr>
            <w:tcW w:type="dxa" w:w="1800"/>
            <w:tcMar>
              <w:top w:w="45" w:type="dxa"/>
              <w:left w:w="80" w:type="dxa"/>
              <w:bottom w:w="45" w:type="dxa"/>
              <w:right w:w="60" w:type="dxa"/>
            </w:tcMar>
            <w:vAlign w:val="top"/>
          </w:tcPr>
          <w:p>
            <w:pPr>
              <w:pStyle w:val="IGCell"/>
              <w:keepNext/>
              <w:spacing w:after="0"/>
            </w:pPr>
            <w:r>
              <w:rPr>
                <w:rFonts w:ascii="Arial" w:hAnsi="Arial" w:cs="Arial" w:eastAsia="Arial"/>
                <w:color w:val="192E43"/>
                <w:sz w:val="16"/>
              </w:rPr>
              <w:t>Resolved Apr 1, 2027. Range authorized. Staff may accept up to 45 percent of the nonfederal share with Deputy County Executive notification.</w:t>
            </w:r>
          </w:p>
        </w:tc>
      </w:tr>
      <w:tr>
        <w:trPr>
          <w:cantSplit w:val="true"/>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6"/>
              </w:rPr>
              <w:t>ESC-02</w:t>
            </w:r>
          </w:p>
        </w:tc>
        <w:tc>
          <w:tcPr>
            <w:tcW w:type="dxa" w:w="3384"/>
            <w:tcMar>
              <w:top w:w="45" w:type="dxa"/>
              <w:left w:w="80" w:type="dxa"/>
              <w:bottom w:w="45" w:type="dxa"/>
              <w:right w:w="60" w:type="dxa"/>
            </w:tcMar>
            <w:vAlign w:val="top"/>
          </w:tcPr>
          <w:p>
            <w:pPr>
              <w:pStyle w:val="IGCell"/>
              <w:keepNext/>
              <w:spacing w:after="0"/>
            </w:pPr>
            <w:r>
              <w:rPr>
                <w:rFonts w:ascii="Arial" w:hAnsi="Arial" w:cs="Arial" w:eastAsia="Arial"/>
                <w:color w:val="192E43"/>
                <w:sz w:val="16"/>
              </w:rPr>
              <w:t>Mar 30, 2027. HB 530 could reduce the county share of state road funds. The County has no position and the Budget Office estimate is pending.</w:t>
            </w:r>
          </w:p>
        </w:tc>
        <w:tc>
          <w:tcPr>
            <w:tcW w:type="dxa" w:w="1296"/>
            <w:tcMar>
              <w:top w:w="45" w:type="dxa"/>
              <w:left w:w="80" w:type="dxa"/>
              <w:bottom w:w="45" w:type="dxa"/>
              <w:right w:w="60" w:type="dxa"/>
            </w:tcMar>
            <w:vAlign w:val="top"/>
          </w:tcPr>
          <w:p>
            <w:pPr>
              <w:pStyle w:val="IGCell"/>
              <w:keepNext/>
              <w:spacing w:after="0"/>
            </w:pPr>
            <w:r>
              <w:rPr>
                <w:rFonts w:ascii="Arial" w:hAnsi="Arial" w:cs="Arial" w:eastAsia="Arial"/>
                <w:color w:val="192E43"/>
                <w:sz w:val="16"/>
              </w:rPr>
              <w:t>Executive Sponsor</w:t>
            </w:r>
          </w:p>
        </w:tc>
        <w:tc>
          <w:tcPr>
            <w:tcW w:type="dxa" w:w="2376"/>
            <w:tcMar>
              <w:top w:w="45" w:type="dxa"/>
              <w:left w:w="80" w:type="dxa"/>
              <w:bottom w:w="45" w:type="dxa"/>
              <w:right w:w="60" w:type="dxa"/>
            </w:tcMar>
            <w:vAlign w:val="top"/>
          </w:tcPr>
          <w:p>
            <w:pPr>
              <w:pStyle w:val="IGCell"/>
              <w:keepNext/>
              <w:spacing w:after="0"/>
            </w:pPr>
            <w:r>
              <w:rPr>
                <w:rFonts w:ascii="Arial" w:hAnsi="Arial" w:cs="Arial" w:eastAsia="Arial"/>
                <w:color w:val="192E43"/>
                <w:sz w:val="16"/>
              </w:rPr>
              <w:t>Set the County position on HB 530 once the impact estimate is received.</w:t>
            </w:r>
          </w:p>
          <w:p>
            <w:pPr>
              <w:pStyle w:val="IGCell"/>
              <w:keepNext/>
              <w:spacing w:after="0" w:before="40"/>
            </w:pPr>
            <w:r>
              <w:rPr>
                <w:rFonts w:ascii="Arial" w:hAnsi="Arial" w:cs="Arial" w:eastAsia="Arial"/>
                <w:color w:val="192E43"/>
                <w:sz w:val="16"/>
              </w:rPr>
              <w:t>Due Apr 9, 2027</w:t>
            </w:r>
          </w:p>
        </w:tc>
        <w:tc>
          <w:tcPr>
            <w:tcW w:type="dxa" w:w="1800"/>
            <w:tcMar>
              <w:top w:w="45" w:type="dxa"/>
              <w:left w:w="80" w:type="dxa"/>
              <w:bottom w:w="45" w:type="dxa"/>
              <w:right w:w="60" w:type="dxa"/>
            </w:tcMar>
            <w:vAlign w:val="top"/>
          </w:tcPr>
          <w:p>
            <w:pPr>
              <w:pStyle w:val="IGCell"/>
              <w:keepNext/>
              <w:spacing w:after="0"/>
            </w:pPr>
            <w:r>
              <w:rPr>
                <w:rFonts w:ascii="Arial" w:hAnsi="Arial" w:cs="Arial" w:eastAsia="Arial"/>
                <w:color w:val="192E43"/>
                <w:sz w:val="16"/>
              </w:rPr>
              <w:t>Open.</w:t>
            </w:r>
          </w:p>
        </w:tc>
      </w:tr>
      <w:tr>
        <w:trPr>
          <w:cantSplit w:val="true"/>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6"/>
              </w:rPr>
              <w:t>ESC-03</w:t>
            </w:r>
          </w:p>
        </w:tc>
        <w:tc>
          <w:tcPr>
            <w:tcW w:type="dxa" w:w="3384"/>
            <w:tcMar>
              <w:top w:w="45" w:type="dxa"/>
              <w:left w:w="80" w:type="dxa"/>
              <w:bottom w:w="45" w:type="dxa"/>
              <w:right w:w="60" w:type="dxa"/>
            </w:tcMar>
            <w:vAlign w:val="top"/>
          </w:tcPr>
          <w:p>
            <w:pPr>
              <w:pStyle w:val="IGCell"/>
              <w:keepNext/>
              <w:spacing w:after="0"/>
            </w:pPr>
            <w:r>
              <w:rPr>
                <w:rFonts w:ascii="Arial" w:hAnsi="Arial" w:cs="Arial" w:eastAsia="Arial"/>
                <w:color w:val="192E43"/>
                <w:sz w:val="16"/>
              </w:rPr>
              <w:t>Apr 5, 2027. If SB 214 fails or is amended, the County has no identified source for its share of the match.</w:t>
            </w:r>
          </w:p>
        </w:tc>
        <w:tc>
          <w:tcPr>
            <w:tcW w:type="dxa" w:w="1296"/>
            <w:tcMar>
              <w:top w:w="45" w:type="dxa"/>
              <w:left w:w="80" w:type="dxa"/>
              <w:bottom w:w="45" w:type="dxa"/>
              <w:right w:w="60" w:type="dxa"/>
            </w:tcMar>
            <w:vAlign w:val="top"/>
          </w:tcPr>
          <w:p>
            <w:pPr>
              <w:pStyle w:val="IGCell"/>
              <w:keepNext/>
              <w:spacing w:after="0"/>
            </w:pPr>
            <w:r>
              <w:rPr>
                <w:rFonts w:ascii="Arial" w:hAnsi="Arial" w:cs="Arial" w:eastAsia="Arial"/>
                <w:color w:val="192E43"/>
                <w:sz w:val="16"/>
              </w:rPr>
              <w:t>Chief Executive</w:t>
            </w:r>
          </w:p>
        </w:tc>
        <w:tc>
          <w:tcPr>
            <w:tcW w:type="dxa" w:w="2376"/>
            <w:tcMar>
              <w:top w:w="45" w:type="dxa"/>
              <w:left w:w="80" w:type="dxa"/>
              <w:bottom w:w="45" w:type="dxa"/>
              <w:right w:w="60" w:type="dxa"/>
            </w:tcMar>
            <w:vAlign w:val="top"/>
          </w:tcPr>
          <w:p>
            <w:pPr>
              <w:pStyle w:val="IGCell"/>
              <w:keepNext/>
              <w:spacing w:after="0"/>
            </w:pPr>
            <w:r>
              <w:rPr>
                <w:rFonts w:ascii="Arial" w:hAnsi="Arial" w:cs="Arial" w:eastAsia="Arial"/>
                <w:color w:val="192E43"/>
                <w:sz w:val="16"/>
              </w:rPr>
              <w:t>Direct the Budget Director to prepare alternate match scenarios before the governor's action window.</w:t>
            </w:r>
          </w:p>
          <w:p>
            <w:pPr>
              <w:pStyle w:val="IGCell"/>
              <w:keepNext/>
              <w:spacing w:after="0" w:before="40"/>
            </w:pPr>
            <w:r>
              <w:rPr>
                <w:rFonts w:ascii="Arial" w:hAnsi="Arial" w:cs="Arial" w:eastAsia="Arial"/>
                <w:color w:val="192E43"/>
                <w:sz w:val="16"/>
              </w:rPr>
              <w:t>Due Apr 16, 2027</w:t>
            </w:r>
          </w:p>
        </w:tc>
        <w:tc>
          <w:tcPr>
            <w:tcW w:type="dxa" w:w="1800"/>
            <w:tcMar>
              <w:top w:w="45" w:type="dxa"/>
              <w:left w:w="80" w:type="dxa"/>
              <w:bottom w:w="45" w:type="dxa"/>
              <w:right w:w="60" w:type="dxa"/>
            </w:tcMar>
            <w:vAlign w:val="top"/>
          </w:tcPr>
          <w:p>
            <w:pPr>
              <w:pStyle w:val="IGCell"/>
              <w:keepNext/>
              <w:spacing w:after="0"/>
            </w:pPr>
            <w:r>
              <w:rPr>
                <w:rFonts w:ascii="Arial" w:hAnsi="Arial" w:cs="Arial" w:eastAsia="Arial"/>
                <w:color w:val="192E43"/>
                <w:sz w:val="16"/>
              </w:rPr>
              <w:t>Open.</w:t>
            </w:r>
          </w:p>
        </w:tc>
      </w:tr>
      <w:tr>
        <w:trPr>
          <w:cantSplit w:val="true"/>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6"/>
              </w:rPr>
              <w:t>ESC-04</w:t>
            </w:r>
          </w:p>
        </w:tc>
        <w:tc>
          <w:tcPr>
            <w:tcW w:type="dxa" w:w="3384"/>
            <w:tcMar>
              <w:top w:w="45" w:type="dxa"/>
              <w:left w:w="80" w:type="dxa"/>
              <w:bottom w:w="45" w:type="dxa"/>
              <w:right w:w="60" w:type="dxa"/>
            </w:tcMar>
            <w:vAlign w:val="top"/>
          </w:tcPr>
          <w:p>
            <w:pPr>
              <w:pStyle w:val="IGCell"/>
              <w:keepNext/>
              <w:spacing w:after="0"/>
            </w:pPr>
            <w:r>
              <w:rPr>
                <w:rFonts w:ascii="Arial" w:hAnsi="Arial" w:cs="Arial" w:eastAsia="Arial"/>
                <w:color w:val="192E43"/>
                <w:sz w:val="16"/>
              </w:rPr>
              <w:t>Feb 24, 2027. A commissioner commented publicly on HB 388 in terms that differ from the cleared position.</w:t>
            </w:r>
          </w:p>
        </w:tc>
        <w:tc>
          <w:tcPr>
            <w:tcW w:type="dxa" w:w="1296"/>
            <w:tcMar>
              <w:top w:w="45" w:type="dxa"/>
              <w:left w:w="80" w:type="dxa"/>
              <w:bottom w:w="45" w:type="dxa"/>
              <w:right w:w="60" w:type="dxa"/>
            </w:tcMar>
            <w:vAlign w:val="top"/>
          </w:tcPr>
          <w:p>
            <w:pPr>
              <w:pStyle w:val="IGCell"/>
              <w:keepNext/>
              <w:spacing w:after="0"/>
            </w:pPr>
            <w:r>
              <w:rPr>
                <w:rFonts w:ascii="Arial" w:hAnsi="Arial" w:cs="Arial" w:eastAsia="Arial"/>
                <w:color w:val="192E43"/>
                <w:sz w:val="16"/>
              </w:rPr>
              <w:t>Governing Board</w:t>
            </w:r>
          </w:p>
        </w:tc>
        <w:tc>
          <w:tcPr>
            <w:tcW w:type="dxa" w:w="2376"/>
            <w:tcMar>
              <w:top w:w="45" w:type="dxa"/>
              <w:left w:w="80" w:type="dxa"/>
              <w:bottom w:w="45" w:type="dxa"/>
              <w:right w:w="60" w:type="dxa"/>
            </w:tcMar>
            <w:vAlign w:val="top"/>
          </w:tcPr>
          <w:p>
            <w:pPr>
              <w:pStyle w:val="IGCell"/>
              <w:keepNext/>
              <w:spacing w:after="0"/>
            </w:pPr>
            <w:r>
              <w:rPr>
                <w:rFonts w:ascii="Arial" w:hAnsi="Arial" w:cs="Arial" w:eastAsia="Arial"/>
                <w:color w:val="192E43"/>
                <w:sz w:val="16"/>
              </w:rPr>
              <w:t>Board Chair to remind commissioners to use cleared language.</w:t>
            </w:r>
          </w:p>
          <w:p>
            <w:pPr>
              <w:pStyle w:val="IGCell"/>
              <w:keepNext/>
              <w:spacing w:after="0" w:before="40"/>
            </w:pPr>
            <w:r>
              <w:rPr>
                <w:rFonts w:ascii="Arial" w:hAnsi="Arial" w:cs="Arial" w:eastAsia="Arial"/>
                <w:color w:val="192E43"/>
                <w:sz w:val="16"/>
              </w:rPr>
              <w:t>Due Feb 26, 2027</w:t>
            </w:r>
          </w:p>
        </w:tc>
        <w:tc>
          <w:tcPr>
            <w:tcW w:type="dxa" w:w="1800"/>
            <w:tcMar>
              <w:top w:w="45" w:type="dxa"/>
              <w:left w:w="80" w:type="dxa"/>
              <w:bottom w:w="45" w:type="dxa"/>
              <w:right w:w="60" w:type="dxa"/>
            </w:tcMar>
            <w:vAlign w:val="top"/>
          </w:tcPr>
          <w:p>
            <w:pPr>
              <w:pStyle w:val="IGCell"/>
              <w:keepNext/>
              <w:spacing w:after="0"/>
            </w:pPr>
            <w:r>
              <w:rPr>
                <w:rFonts w:ascii="Arial" w:hAnsi="Arial" w:cs="Arial" w:eastAsia="Arial"/>
                <w:color w:val="192E43"/>
                <w:sz w:val="16"/>
              </w:rPr>
              <w:t>Resolved Feb 26, 2027. Chair briefed. Commissioner agreed to use cleared language. No further statements.</w:t>
            </w:r>
          </w:p>
        </w:tc>
      </w:tr>
      <w:tr>
        <w:trPr>
          <w:cantSplit w:val="true"/>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6"/>
              </w:rPr>
              <w:t>ESC-05</w:t>
            </w:r>
          </w:p>
        </w:tc>
        <w:tc>
          <w:tcPr>
            <w:tcW w:type="dxa" w:w="3384"/>
            <w:tcMar>
              <w:top w:w="45" w:type="dxa"/>
              <w:left w:w="80" w:type="dxa"/>
              <w:bottom w:w="45" w:type="dxa"/>
              <w:right w:w="60" w:type="dxa"/>
            </w:tcMar>
            <w:vAlign w:val="top"/>
          </w:tcPr>
          <w:p>
            <w:pPr>
              <w:pStyle w:val="IGCell"/>
              <w:spacing w:after="0"/>
            </w:pPr>
            <w:r>
              <w:rPr>
                <w:rFonts w:ascii="Arial" w:hAnsi="Arial" w:cs="Arial" w:eastAsia="Arial"/>
                <w:color w:val="192E43"/>
                <w:sz w:val="16"/>
              </w:rPr>
              <w:t>Mar 8, 2027. The Tribal Nation's staff asked for a written invitation from the County Executive. The signature is overdue and leader-level scheduling depends on it.</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Chief Executive</w:t>
            </w:r>
          </w:p>
        </w:tc>
        <w:tc>
          <w:tcPr>
            <w:tcW w:type="dxa" w:w="2376"/>
            <w:tcMar>
              <w:top w:w="45" w:type="dxa"/>
              <w:left w:w="80" w:type="dxa"/>
              <w:bottom w:w="45" w:type="dxa"/>
              <w:right w:w="60" w:type="dxa"/>
            </w:tcMar>
            <w:vAlign w:val="top"/>
          </w:tcPr>
          <w:p>
            <w:pPr>
              <w:pStyle w:val="IGCell"/>
              <w:spacing w:after="0"/>
            </w:pPr>
            <w:r>
              <w:rPr>
                <w:rFonts w:ascii="Arial" w:hAnsi="Arial" w:cs="Arial" w:eastAsia="Arial"/>
                <w:color w:val="192E43"/>
                <w:sz w:val="16"/>
              </w:rPr>
              <w:t>Sign and send the invitation letter to the Tribal Chairperson.</w:t>
            </w:r>
          </w:p>
          <w:p>
            <w:pPr>
              <w:pStyle w:val="IGCell"/>
              <w:spacing w:after="0" w:before="40"/>
            </w:pPr>
            <w:r>
              <w:rPr>
                <w:rFonts w:ascii="Arial" w:hAnsi="Arial" w:cs="Arial" w:eastAsia="Arial"/>
                <w:color w:val="192E43"/>
                <w:sz w:val="16"/>
              </w:rPr>
              <w:t>Due Mar 22, 2027</w:t>
            </w:r>
          </w:p>
        </w:tc>
        <w:tc>
          <w:tcPr>
            <w:tcW w:type="dxa" w:w="1800"/>
            <w:tcMar>
              <w:top w:w="45" w:type="dxa"/>
              <w:left w:w="80" w:type="dxa"/>
              <w:bottom w:w="45" w:type="dxa"/>
              <w:right w:w="60" w:type="dxa"/>
            </w:tcMar>
            <w:vAlign w:val="top"/>
          </w:tcPr>
          <w:p>
            <w:pPr>
              <w:pStyle w:val="IGCell"/>
              <w:spacing w:after="0"/>
            </w:pPr>
            <w:r>
              <w:rPr>
                <w:rFonts w:ascii="Arial" w:hAnsi="Arial" w:cs="Arial" w:eastAsia="Arial"/>
                <w:color w:val="192E43"/>
                <w:sz w:val="16"/>
              </w:rPr>
              <w:t>Open. Past due.</w:t>
            </w:r>
          </w:p>
        </w:tc>
      </w:tr>
    </w:tbl>
    <w:p>
      <w:pPr>
        <w:spacing w:after="80" w:line="144" w:lineRule="auto"/>
      </w:pPr>
    </w:p>
    <w:p>
      <w:pPr>
        <w:pStyle w:val="IGSmall"/>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Practitioner note.  </w:t>
      </w:r>
      <w:r>
        <w:rPr>
          <w:rFonts w:ascii="Arial" w:hAnsi="Arial" w:cs="Arial" w:eastAsia="Arial"/>
          <w:color w:val="52606D"/>
          <w:sz w:val="17"/>
        </w:rPr>
        <w:t>Two of the five first-quarter escalations were resolved within days. Two are still inside their response windows. One is past due. The log makes that delay visible to the Executive Sponsor without anyone having to say so.</w:t>
      </w:r>
    </w:p>
    <w:p>
      <w:pPr>
        <w:pStyle w:val="Heading1"/>
      </w:pPr>
      <w:r>
        <w:t>11. Performance Measures and Reporting</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Defines how the office will show leadership what the plan produced, and when.</w:t>
      </w:r>
    </w:p>
    <w:p>
      <w:pPr>
        <w:pStyle w:val="Heading2"/>
      </w:pPr>
      <w:r>
        <w:t>11.1 Measures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088"/>
        <w:gridCol w:w="1152"/>
        <w:gridCol w:w="2448"/>
        <w:gridCol w:w="1296"/>
        <w:gridCol w:w="1512"/>
        <w:gridCol w:w="1152"/>
      </w:tblGrid>
      <w:tr>
        <w:trPr>
          <w:tblHeader w:val="true"/>
          <w:cantSplit w:val="true"/>
        </w:trPr>
        <w:tc>
          <w:tcPr>
            <w:tcW w:type="dxa" w:w="2088"/>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Measure</w:t>
            </w:r>
          </w:p>
        </w:tc>
        <w:tc>
          <w:tcPr>
            <w:tcW w:type="dxa" w:w="115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Type</w:t>
            </w:r>
          </w:p>
        </w:tc>
        <w:tc>
          <w:tcPr>
            <w:tcW w:type="dxa" w:w="2448"/>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Definition and data source</w:t>
            </w:r>
          </w:p>
        </w:tc>
        <w:tc>
          <w:tcPr>
            <w:tcW w:type="dxa" w:w="1296"/>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Baseline</w:t>
            </w:r>
          </w:p>
        </w:tc>
        <w:tc>
          <w:tcPr>
            <w:tcW w:type="dxa" w:w="151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Target</w:t>
            </w:r>
          </w:p>
        </w:tc>
        <w:tc>
          <w:tcPr>
            <w:tcW w:type="dxa" w:w="115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Owner</w:t>
            </w:r>
          </w:p>
        </w:tc>
      </w:tr>
      <w:tr>
        <w:trPr>
          <w:cantSplit w:val="true"/>
        </w:trPr>
        <w:tc>
          <w:tcPr>
            <w:tcW w:type="dxa" w:w="2088"/>
            <w:tcMar>
              <w:top w:w="45" w:type="dxa"/>
              <w:left w:w="80" w:type="dxa"/>
              <w:bottom w:w="45" w:type="dxa"/>
              <w:right w:w="60" w:type="dxa"/>
            </w:tcMar>
            <w:vAlign w:val="top"/>
          </w:tcPr>
          <w:p>
            <w:pPr>
              <w:pStyle w:val="IGCell"/>
              <w:spacing w:after="0"/>
            </w:pPr>
            <w:r>
              <w:rPr>
                <w:rFonts w:ascii="Arial" w:hAnsi="Arial" w:cs="Arial" w:eastAsia="Arial"/>
                <w:b/>
                <w:color w:val="192E43"/>
                <w:sz w:val="16"/>
              </w:rPr>
              <w:t>SB 214 enacted with the county option intact</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Outcome</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6"/>
              </w:rPr>
              <w:t>Enactment status from the state legislative record. Reported at each review.</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No county authority to levy a local-option transportation sales tax</w:t>
            </w:r>
          </w:p>
        </w:tc>
        <w:tc>
          <w:tcPr>
            <w:tcW w:type="dxa" w:w="1512"/>
            <w:tcMar>
              <w:top w:w="45" w:type="dxa"/>
              <w:left w:w="80" w:type="dxa"/>
              <w:bottom w:w="45" w:type="dxa"/>
              <w:right w:w="60" w:type="dxa"/>
            </w:tcMar>
            <w:vAlign w:val="top"/>
          </w:tcPr>
          <w:p>
            <w:pPr>
              <w:pStyle w:val="IGCell"/>
              <w:spacing w:after="0"/>
            </w:pPr>
            <w:r>
              <w:rPr>
                <w:rFonts w:ascii="Arial" w:hAnsi="Arial" w:cs="Arial" w:eastAsia="Arial"/>
                <w:color w:val="192E43"/>
                <w:sz w:val="16"/>
              </w:rPr>
              <w:t>Enacted by the governor's action deadline; rate ceiling at or above 0.5 percent; bridge capital eligible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Jordan Pike</w:t>
            </w:r>
          </w:p>
        </w:tc>
      </w:tr>
      <w:tr>
        <w:trPr>
          <w:cantSplit w:val="true"/>
        </w:trPr>
        <w:tc>
          <w:tcPr>
            <w:tcW w:type="dxa" w:w="2088"/>
            <w:tcMar>
              <w:top w:w="45" w:type="dxa"/>
              <w:left w:w="80" w:type="dxa"/>
              <w:bottom w:w="45" w:type="dxa"/>
              <w:right w:w="60" w:type="dxa"/>
            </w:tcMar>
            <w:vAlign w:val="top"/>
          </w:tcPr>
          <w:p>
            <w:pPr>
              <w:pStyle w:val="IGCell"/>
              <w:spacing w:after="0"/>
            </w:pPr>
            <w:r>
              <w:rPr>
                <w:rFonts w:ascii="Arial" w:hAnsi="Arial" w:cs="Arial" w:eastAsia="Arial"/>
                <w:b/>
                <w:color w:val="192E43"/>
                <w:sz w:val="16"/>
              </w:rPr>
              <w:t>County authority to apply stricter local standards retained</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Outcome</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6"/>
              </w:rPr>
              <w:t>Bill text as enacted and the filed comment letter. Reported at each review.</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HB 388 as filed would preempt stricter local standards</w:t>
            </w:r>
          </w:p>
        </w:tc>
        <w:tc>
          <w:tcPr>
            <w:tcW w:type="dxa" w:w="1512"/>
            <w:tcMar>
              <w:top w:w="45" w:type="dxa"/>
              <w:left w:w="80" w:type="dxa"/>
              <w:bottom w:w="45" w:type="dxa"/>
              <w:right w:w="60" w:type="dxa"/>
            </w:tcMar>
            <w:vAlign w:val="top"/>
          </w:tcPr>
          <w:p>
            <w:pPr>
              <w:pStyle w:val="IGCell"/>
              <w:spacing w:after="0"/>
            </w:pPr>
            <w:r>
              <w:rPr>
                <w:rFonts w:ascii="Arial" w:hAnsi="Arial" w:cs="Arial" w:eastAsia="Arial"/>
                <w:color w:val="192E43"/>
                <w:sz w:val="16"/>
              </w:rPr>
              <w:t>Opt-out language in any enacted bill; written comments filed on the permit rule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Jordan Pike</w:t>
            </w:r>
          </w:p>
        </w:tc>
      </w:tr>
      <w:tr>
        <w:trPr>
          <w:cantSplit w:val="true"/>
        </w:trPr>
        <w:tc>
          <w:tcPr>
            <w:tcW w:type="dxa" w:w="2088"/>
            <w:tcMar>
              <w:top w:w="45" w:type="dxa"/>
              <w:left w:w="80" w:type="dxa"/>
              <w:bottom w:w="45" w:type="dxa"/>
              <w:right w:w="60" w:type="dxa"/>
            </w:tcMar>
            <w:vAlign w:val="top"/>
          </w:tcPr>
          <w:p>
            <w:pPr>
              <w:pStyle w:val="IGCell"/>
              <w:spacing w:after="0"/>
            </w:pPr>
            <w:r>
              <w:rPr>
                <w:rFonts w:ascii="Arial" w:hAnsi="Arial" w:cs="Arial" w:eastAsia="Arial"/>
                <w:b/>
                <w:color w:val="192E43"/>
                <w:sz w:val="16"/>
              </w:rPr>
              <w:t>Application submitted with committed match</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Outcome</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6"/>
              </w:rPr>
              <w:t>Submission receipt and written match commitments on file. Reported at each review.</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No application; match sources not committed</w:t>
            </w:r>
          </w:p>
        </w:tc>
        <w:tc>
          <w:tcPr>
            <w:tcW w:type="dxa" w:w="1512"/>
            <w:tcMar>
              <w:top w:w="45" w:type="dxa"/>
              <w:left w:w="80" w:type="dxa"/>
              <w:bottom w:w="45" w:type="dxa"/>
              <w:right w:w="60" w:type="dxa"/>
            </w:tcMar>
            <w:vAlign w:val="top"/>
          </w:tcPr>
          <w:p>
            <w:pPr>
              <w:pStyle w:val="IGCell"/>
              <w:spacing w:after="0"/>
            </w:pPr>
            <w:r>
              <w:rPr>
                <w:rFonts w:ascii="Arial" w:hAnsi="Arial" w:cs="Arial" w:eastAsia="Arial"/>
                <w:color w:val="192E43"/>
                <w:sz w:val="16"/>
              </w:rPr>
              <w:t>Submitted by the assumed federal deadline with match commitments in writing</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Samuel Ortega</w:t>
            </w:r>
          </w:p>
        </w:tc>
      </w:tr>
      <w:tr>
        <w:trPr>
          <w:cantSplit w:val="true"/>
        </w:trPr>
        <w:tc>
          <w:tcPr>
            <w:tcW w:type="dxa" w:w="2088"/>
            <w:tcMar>
              <w:top w:w="45" w:type="dxa"/>
              <w:left w:w="80" w:type="dxa"/>
              <w:bottom w:w="45" w:type="dxa"/>
              <w:right w:w="60" w:type="dxa"/>
            </w:tcMar>
            <w:vAlign w:val="top"/>
          </w:tcPr>
          <w:p>
            <w:pPr>
              <w:pStyle w:val="IGCell"/>
              <w:spacing w:after="0"/>
            </w:pPr>
            <w:r>
              <w:rPr>
                <w:rFonts w:ascii="Arial" w:hAnsi="Arial" w:cs="Arial" w:eastAsia="Arial"/>
                <w:b/>
                <w:color w:val="192E43"/>
                <w:sz w:val="16"/>
              </w:rPr>
              <w:t>Agreement executed by all three governing bodies</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Milestone</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6"/>
              </w:rPr>
              <w:t>Signature pages from all three governing bodies. Reported at each review.</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Informal understanding only; no term sheet</w:t>
            </w:r>
          </w:p>
        </w:tc>
        <w:tc>
          <w:tcPr>
            <w:tcW w:type="dxa" w:w="1512"/>
            <w:tcMar>
              <w:top w:w="45" w:type="dxa"/>
              <w:left w:w="80" w:type="dxa"/>
              <w:bottom w:w="45" w:type="dxa"/>
              <w:right w:w="60" w:type="dxa"/>
            </w:tcMar>
            <w:vAlign w:val="top"/>
          </w:tcPr>
          <w:p>
            <w:pPr>
              <w:pStyle w:val="IGCell"/>
              <w:spacing w:after="0"/>
            </w:pPr>
            <w:r>
              <w:rPr>
                <w:rFonts w:ascii="Arial" w:hAnsi="Arial" w:cs="Arial" w:eastAsia="Arial"/>
                <w:color w:val="192E43"/>
                <w:sz w:val="16"/>
              </w:rPr>
              <w:t>Executed by Aug 31, 2027</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Alicia Brandt</w:t>
            </w:r>
          </w:p>
        </w:tc>
      </w:tr>
      <w:tr>
        <w:trPr>
          <w:cantSplit w:val="true"/>
        </w:trPr>
        <w:tc>
          <w:tcPr>
            <w:tcW w:type="dxa" w:w="2088"/>
            <w:tcMar>
              <w:top w:w="45" w:type="dxa"/>
              <w:left w:w="80" w:type="dxa"/>
              <w:bottom w:w="45" w:type="dxa"/>
              <w:right w:w="60" w:type="dxa"/>
            </w:tcMar>
            <w:vAlign w:val="top"/>
          </w:tcPr>
          <w:p>
            <w:pPr>
              <w:pStyle w:val="IGCell"/>
              <w:spacing w:after="0"/>
            </w:pPr>
            <w:r>
              <w:rPr>
                <w:rFonts w:ascii="Arial" w:hAnsi="Arial" w:cs="Arial" w:eastAsia="Arial"/>
                <w:b/>
                <w:color w:val="192E43"/>
                <w:sz w:val="16"/>
              </w:rPr>
              <w:t>Protocol agreed; two leader-level meetings held; concerns documented</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Relationship</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6"/>
              </w:rPr>
              <w:t>Signed protocol and meeting records. Reported at each review.</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No standing channel; staff-level contact only</w:t>
            </w:r>
          </w:p>
        </w:tc>
        <w:tc>
          <w:tcPr>
            <w:tcW w:type="dxa" w:w="1512"/>
            <w:tcMar>
              <w:top w:w="45" w:type="dxa"/>
              <w:left w:w="80" w:type="dxa"/>
              <w:bottom w:w="45" w:type="dxa"/>
              <w:right w:w="60" w:type="dxa"/>
            </w:tcMar>
            <w:vAlign w:val="top"/>
          </w:tcPr>
          <w:p>
            <w:pPr>
              <w:pStyle w:val="IGCell"/>
              <w:spacing w:after="0"/>
            </w:pPr>
            <w:r>
              <w:rPr>
                <w:rFonts w:ascii="Arial" w:hAnsi="Arial" w:cs="Arial" w:eastAsia="Arial"/>
                <w:color w:val="192E43"/>
                <w:sz w:val="16"/>
              </w:rPr>
              <w:t>Protocol agreed and two leader-level meetings held by Aug 13, 2027</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Elena Marsh</w:t>
            </w:r>
          </w:p>
        </w:tc>
      </w:tr>
      <w:tr>
        <w:trPr>
          <w:cantSplit w:val="true"/>
        </w:trPr>
        <w:tc>
          <w:tcPr>
            <w:tcW w:type="dxa" w:w="2088"/>
            <w:tcMar>
              <w:top w:w="45" w:type="dxa"/>
              <w:left w:w="80" w:type="dxa"/>
              <w:bottom w:w="45" w:type="dxa"/>
              <w:right w:w="60" w:type="dxa"/>
            </w:tcMar>
            <w:vAlign w:val="top"/>
          </w:tcPr>
          <w:p>
            <w:pPr>
              <w:pStyle w:val="IGCell"/>
              <w:spacing w:after="0"/>
            </w:pPr>
            <w:r>
              <w:rPr>
                <w:rFonts w:ascii="Arial" w:hAnsi="Arial" w:cs="Arial" w:eastAsia="Arial"/>
                <w:b/>
                <w:color w:val="192E43"/>
                <w:sz w:val="16"/>
              </w:rPr>
              <w:t>Protocol adopted; Q1 to Q3 reports delivered on time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Process</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6"/>
              </w:rPr>
              <w:t>Approved protocol and dated reports to leadership. Reported at each review.</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Positions cleared case by case; no regular report</w:t>
            </w:r>
          </w:p>
        </w:tc>
        <w:tc>
          <w:tcPr>
            <w:tcW w:type="dxa" w:w="1512"/>
            <w:tcMar>
              <w:top w:w="45" w:type="dxa"/>
              <w:left w:w="80" w:type="dxa"/>
              <w:bottom w:w="45" w:type="dxa"/>
              <w:right w:w="60" w:type="dxa"/>
            </w:tcMar>
            <w:vAlign w:val="top"/>
          </w:tcPr>
          <w:p>
            <w:pPr>
              <w:pStyle w:val="IGCell"/>
              <w:spacing w:after="0"/>
            </w:pPr>
            <w:r>
              <w:rPr>
                <w:rFonts w:ascii="Arial" w:hAnsi="Arial" w:cs="Arial" w:eastAsia="Arial"/>
                <w:color w:val="192E43"/>
                <w:sz w:val="16"/>
              </w:rPr>
              <w:t>Protocol adopted by Jan 22; three quarterly reports delivered on time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Elena Marsh</w:t>
            </w:r>
          </w:p>
        </w:tc>
      </w:tr>
      <w:tr>
        <w:trPr>
          <w:cantSplit w:val="true"/>
        </w:trPr>
        <w:tc>
          <w:tcPr>
            <w:tcW w:type="dxa" w:w="2088"/>
            <w:tcMar>
              <w:top w:w="45" w:type="dxa"/>
              <w:left w:w="80" w:type="dxa"/>
              <w:bottom w:w="45" w:type="dxa"/>
              <w:right w:w="60" w:type="dxa"/>
            </w:tcMar>
            <w:vAlign w:val="top"/>
          </w:tcPr>
          <w:p>
            <w:pPr>
              <w:pStyle w:val="IGCell"/>
              <w:spacing w:after="0"/>
            </w:pPr>
            <w:r>
              <w:rPr>
                <w:rFonts w:ascii="Arial" w:hAnsi="Arial" w:cs="Arial" w:eastAsia="Arial"/>
                <w:b/>
                <w:color w:val="192E43"/>
                <w:sz w:val="16"/>
              </w:rPr>
              <w:t>Tier 1 and 2 relationships within contact cadence</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Relationship</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6"/>
              </w:rPr>
              <w:t>Share of Tier 1 and 2 relationships with Contact Status Current or Due Soon, from the Relationships sheet.</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Not measured in 2026</w:t>
            </w:r>
          </w:p>
        </w:tc>
        <w:tc>
          <w:tcPr>
            <w:tcW w:type="dxa" w:w="1512"/>
            <w:tcMar>
              <w:top w:w="45" w:type="dxa"/>
              <w:left w:w="80" w:type="dxa"/>
              <w:bottom w:w="45" w:type="dxa"/>
              <w:right w:w="60" w:type="dxa"/>
            </w:tcMar>
            <w:vAlign w:val="top"/>
          </w:tcPr>
          <w:p>
            <w:pPr>
              <w:pStyle w:val="IGCell"/>
              <w:spacing w:after="0"/>
            </w:pPr>
            <w:r>
              <w:rPr>
                <w:rFonts w:ascii="Arial" w:hAnsi="Arial" w:cs="Arial" w:eastAsia="Arial"/>
                <w:color w:val="192E43"/>
                <w:sz w:val="16"/>
              </w:rPr>
              <w:t>At least 85 percent at each quarter end</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Elena Marsh</w:t>
            </w:r>
          </w:p>
        </w:tc>
      </w:tr>
      <w:tr>
        <w:trPr>
          <w:cantSplit w:val="true"/>
        </w:trPr>
        <w:tc>
          <w:tcPr>
            <w:tcW w:type="dxa" w:w="2088"/>
            <w:tcMar>
              <w:top w:w="45" w:type="dxa"/>
              <w:left w:w="80" w:type="dxa"/>
              <w:bottom w:w="45" w:type="dxa"/>
              <w:right w:w="60" w:type="dxa"/>
            </w:tcMar>
            <w:vAlign w:val="top"/>
          </w:tcPr>
          <w:p>
            <w:pPr>
              <w:pStyle w:val="IGCell"/>
              <w:spacing w:after="0"/>
            </w:pPr>
            <w:r>
              <w:rPr>
                <w:rFonts w:ascii="Arial" w:hAnsi="Arial" w:cs="Arial" w:eastAsia="Arial"/>
                <w:b/>
                <w:color w:val="192E43"/>
                <w:sz w:val="16"/>
              </w:rPr>
              <w:t>Position requests cleared within the standard turnaround</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Process</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6"/>
              </w:rPr>
              <w:t>Requests cleared within 48 hours in session or five business days otherwise.</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6"/>
              </w:rPr>
              <w:t>Not measured in 2026</w:t>
            </w:r>
          </w:p>
        </w:tc>
        <w:tc>
          <w:tcPr>
            <w:tcW w:type="dxa" w:w="1512"/>
            <w:tcMar>
              <w:top w:w="45" w:type="dxa"/>
              <w:left w:w="80" w:type="dxa"/>
              <w:bottom w:w="45" w:type="dxa"/>
              <w:right w:w="60" w:type="dxa"/>
            </w:tcMar>
            <w:vAlign w:val="top"/>
          </w:tcPr>
          <w:p>
            <w:pPr>
              <w:pStyle w:val="IGCell"/>
              <w:spacing w:after="0"/>
            </w:pPr>
            <w:r>
              <w:rPr>
                <w:rFonts w:ascii="Arial" w:hAnsi="Arial" w:cs="Arial" w:eastAsia="Arial"/>
                <w:color w:val="192E43"/>
                <w:sz w:val="16"/>
              </w:rPr>
              <w:t>At least 90 percent</w:t>
            </w:r>
          </w:p>
        </w:tc>
        <w:tc>
          <w:tcPr>
            <w:tcW w:type="dxa" w:w="1152"/>
            <w:tcMar>
              <w:top w:w="45" w:type="dxa"/>
              <w:left w:w="80" w:type="dxa"/>
              <w:bottom w:w="45" w:type="dxa"/>
              <w:right w:w="60" w:type="dxa"/>
            </w:tcMar>
            <w:vAlign w:val="top"/>
          </w:tcPr>
          <w:p>
            <w:pPr>
              <w:pStyle w:val="IGCell"/>
              <w:spacing w:after="0"/>
            </w:pPr>
            <w:r>
              <w:rPr>
                <w:rFonts w:ascii="Arial" w:hAnsi="Arial" w:cs="Arial" w:eastAsia="Arial"/>
                <w:color w:val="192E43"/>
                <w:sz w:val="16"/>
              </w:rPr>
              <w:t>Elena Marsh</w:t>
            </w:r>
          </w:p>
        </w:tc>
      </w:tr>
    </w:tbl>
    <w:p>
      <w:pPr>
        <w:spacing w:after="80" w:line="144" w:lineRule="auto"/>
      </w:pPr>
    </w:p>
    <w:p>
      <w:pPr>
        <w:pStyle w:val="Heading2"/>
      </w:pPr>
      <w:r>
        <w:t>11.2 Reporting schedule</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2015"/>
        <w:gridCol w:w="2015"/>
        <w:gridCol w:w="2160"/>
        <w:gridCol w:w="1296"/>
      </w:tblGrid>
      <w:tr>
        <w:trPr>
          <w:tblHeader w:val="true"/>
          <w:cantSplit w:val="true"/>
        </w:trPr>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Report</w:t>
            </w:r>
          </w:p>
        </w:tc>
        <w:tc>
          <w:tcPr>
            <w:tcW w:type="dxa" w:w="201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Audience</w:t>
            </w:r>
          </w:p>
        </w:tc>
        <w:tc>
          <w:tcPr>
            <w:tcW w:type="dxa" w:w="201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Format</w:t>
            </w:r>
          </w:p>
        </w:tc>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Frequency and due</w:t>
            </w:r>
          </w:p>
        </w:tc>
        <w:tc>
          <w:tcPr>
            <w:tcW w:type="dxa" w:w="129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Owner</w:t>
            </w:r>
          </w:p>
        </w:tc>
      </w:tr>
      <w:tr>
        <w:trPr>
          <w:cantSplit w:val="true"/>
        </w:trPr>
        <w:tc>
          <w:tcPr>
            <w:tcW w:type="dxa" w:w="216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Weekly decision list</w:t>
            </w:r>
          </w:p>
        </w:tc>
        <w:tc>
          <w:tcPr>
            <w:tcW w:type="dxa" w:w="2016"/>
            <w:tcMar>
              <w:top w:w="45" w:type="dxa"/>
              <w:left w:w="80" w:type="dxa"/>
              <w:bottom w:w="45" w:type="dxa"/>
              <w:right w:w="60" w:type="dxa"/>
            </w:tcMar>
            <w:vAlign w:val="top"/>
          </w:tcPr>
          <w:p>
            <w:pPr>
              <w:pStyle w:val="IGCell"/>
              <w:keepNext/>
              <w:spacing w:after="0"/>
            </w:pPr>
            <w:r>
              <w:rPr>
                <w:rFonts w:ascii="Arial" w:hAnsi="Arial" w:cs="Arial" w:eastAsia="Arial"/>
                <w:color w:val="192E43"/>
                <w:sz w:val="17"/>
              </w:rPr>
              <w:t>Deputy County Executive</w:t>
            </w:r>
          </w:p>
        </w:tc>
        <w:tc>
          <w:tcPr>
            <w:tcW w:type="dxa" w:w="2016"/>
            <w:tcMar>
              <w:top w:w="45" w:type="dxa"/>
              <w:left w:w="80" w:type="dxa"/>
              <w:bottom w:w="45" w:type="dxa"/>
              <w:right w:w="60" w:type="dxa"/>
            </w:tcMar>
            <w:vAlign w:val="top"/>
          </w:tcPr>
          <w:p>
            <w:pPr>
              <w:pStyle w:val="IGCell"/>
              <w:keepNext/>
              <w:spacing w:after="0"/>
            </w:pPr>
            <w:r>
              <w:rPr>
                <w:rFonts w:ascii="Arial" w:hAnsi="Arial" w:cs="Arial" w:eastAsia="Arial"/>
                <w:color w:val="192E43"/>
                <w:sz w:val="17"/>
              </w:rPr>
              <w:t>One page. Decisions pending, with dates.</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Every Monday</w:t>
            </w:r>
          </w:p>
        </w:tc>
        <w:tc>
          <w:tcPr>
            <w:tcW w:type="dxa" w:w="1296"/>
            <w:tcMar>
              <w:top w:w="45" w:type="dxa"/>
              <w:left w:w="80" w:type="dxa"/>
              <w:bottom w:w="45" w:type="dxa"/>
              <w:right w:w="60" w:type="dxa"/>
            </w:tcMar>
            <w:vAlign w:val="top"/>
          </w:tcPr>
          <w:p>
            <w:pPr>
              <w:pStyle w:val="IGCell"/>
              <w:keepNext/>
              <w:spacing w:after="0"/>
            </w:pPr>
            <w:r>
              <w:rPr>
                <w:rFonts w:ascii="Arial" w:hAnsi="Arial" w:cs="Arial" w:eastAsia="Arial"/>
                <w:color w:val="192E43"/>
                <w:sz w:val="17"/>
              </w:rPr>
              <w:t>Elena Marsh</w:t>
            </w:r>
          </w:p>
        </w:tc>
      </w:tr>
      <w:tr>
        <w:trPr>
          <w:cantSplit w:val="true"/>
        </w:trPr>
        <w:tc>
          <w:tcPr>
            <w:tcW w:type="dxa" w:w="216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Session status brief</w:t>
            </w:r>
          </w:p>
        </w:tc>
        <w:tc>
          <w:tcPr>
            <w:tcW w:type="dxa" w:w="2016"/>
            <w:tcMar>
              <w:top w:w="45" w:type="dxa"/>
              <w:left w:w="80" w:type="dxa"/>
              <w:bottom w:w="45" w:type="dxa"/>
              <w:right w:w="60" w:type="dxa"/>
            </w:tcMar>
            <w:vAlign w:val="top"/>
          </w:tcPr>
          <w:p>
            <w:pPr>
              <w:pStyle w:val="IGCell"/>
              <w:keepNext/>
              <w:spacing w:after="0"/>
            </w:pPr>
            <w:r>
              <w:rPr>
                <w:rFonts w:ascii="Arial" w:hAnsi="Arial" w:cs="Arial" w:eastAsia="Arial"/>
                <w:color w:val="192E43"/>
                <w:sz w:val="17"/>
              </w:rPr>
              <w:t>County Executive and Board Chair</w:t>
            </w:r>
          </w:p>
        </w:tc>
        <w:tc>
          <w:tcPr>
            <w:tcW w:type="dxa" w:w="2016"/>
            <w:tcMar>
              <w:top w:w="45" w:type="dxa"/>
              <w:left w:w="80" w:type="dxa"/>
              <w:bottom w:w="45" w:type="dxa"/>
              <w:right w:w="60" w:type="dxa"/>
            </w:tcMar>
            <w:vAlign w:val="top"/>
          </w:tcPr>
          <w:p>
            <w:pPr>
              <w:pStyle w:val="IGCell"/>
              <w:keepNext/>
              <w:spacing w:after="0"/>
            </w:pPr>
            <w:r>
              <w:rPr>
                <w:rFonts w:ascii="Arial" w:hAnsi="Arial" w:cs="Arial" w:eastAsia="Arial"/>
                <w:color w:val="192E43"/>
                <w:sz w:val="17"/>
              </w:rPr>
              <w:t>One page. Bills and positions.</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Biweekly, Jan to Apr</w:t>
            </w:r>
          </w:p>
        </w:tc>
        <w:tc>
          <w:tcPr>
            <w:tcW w:type="dxa" w:w="1296"/>
            <w:tcMar>
              <w:top w:w="45" w:type="dxa"/>
              <w:left w:w="80" w:type="dxa"/>
              <w:bottom w:w="45" w:type="dxa"/>
              <w:right w:w="60" w:type="dxa"/>
            </w:tcMar>
            <w:vAlign w:val="top"/>
          </w:tcPr>
          <w:p>
            <w:pPr>
              <w:pStyle w:val="IGCell"/>
              <w:keepNext/>
              <w:spacing w:after="0"/>
            </w:pPr>
            <w:r>
              <w:rPr>
                <w:rFonts w:ascii="Arial" w:hAnsi="Arial" w:cs="Arial" w:eastAsia="Arial"/>
                <w:color w:val="192E43"/>
                <w:sz w:val="17"/>
              </w:rPr>
              <w:t>Jordan Pike</w:t>
            </w:r>
          </w:p>
        </w:tc>
      </w:tr>
      <w:tr>
        <w:trPr>
          <w:cantSplit w:val="true"/>
        </w:trPr>
        <w:tc>
          <w:tcPr>
            <w:tcW w:type="dxa" w:w="216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Quarterly plan report</w:t>
            </w:r>
          </w:p>
        </w:tc>
        <w:tc>
          <w:tcPr>
            <w:tcW w:type="dxa" w:w="2016"/>
            <w:tcMar>
              <w:top w:w="45" w:type="dxa"/>
              <w:left w:w="80" w:type="dxa"/>
              <w:bottom w:w="45" w:type="dxa"/>
              <w:right w:w="60" w:type="dxa"/>
            </w:tcMar>
            <w:vAlign w:val="top"/>
          </w:tcPr>
          <w:p>
            <w:pPr>
              <w:pStyle w:val="IGCell"/>
              <w:keepNext/>
              <w:spacing w:after="0"/>
            </w:pPr>
            <w:r>
              <w:rPr>
                <w:rFonts w:ascii="Arial" w:hAnsi="Arial" w:cs="Arial" w:eastAsia="Arial"/>
                <w:color w:val="192E43"/>
                <w:sz w:val="17"/>
              </w:rPr>
              <w:t>County Executive and Board</w:t>
            </w:r>
          </w:p>
        </w:tc>
        <w:tc>
          <w:tcPr>
            <w:tcW w:type="dxa" w:w="2016"/>
            <w:tcMar>
              <w:top w:w="45" w:type="dxa"/>
              <w:left w:w="80" w:type="dxa"/>
              <w:bottom w:w="45" w:type="dxa"/>
              <w:right w:w="60" w:type="dxa"/>
            </w:tcMar>
            <w:vAlign w:val="top"/>
          </w:tcPr>
          <w:p>
            <w:pPr>
              <w:pStyle w:val="IGCell"/>
              <w:keepNext/>
              <w:spacing w:after="0"/>
            </w:pPr>
            <w:r>
              <w:rPr>
                <w:rFonts w:ascii="Arial" w:hAnsi="Arial" w:cs="Arial" w:eastAsia="Arial"/>
                <w:color w:val="192E43"/>
                <w:sz w:val="17"/>
              </w:rPr>
              <w:t>Four pages and the dashboard.</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Apr 15, Jul 15, Oct 15</w:t>
            </w:r>
          </w:p>
        </w:tc>
        <w:tc>
          <w:tcPr>
            <w:tcW w:type="dxa" w:w="1296"/>
            <w:tcMar>
              <w:top w:w="45" w:type="dxa"/>
              <w:left w:w="80" w:type="dxa"/>
              <w:bottom w:w="45" w:type="dxa"/>
              <w:right w:w="60" w:type="dxa"/>
            </w:tcMar>
            <w:vAlign w:val="top"/>
          </w:tcPr>
          <w:p>
            <w:pPr>
              <w:pStyle w:val="IGCell"/>
              <w:keepNext/>
              <w:spacing w:after="0"/>
            </w:pPr>
            <w:r>
              <w:rPr>
                <w:rFonts w:ascii="Arial" w:hAnsi="Arial" w:cs="Arial" w:eastAsia="Arial"/>
                <w:color w:val="192E43"/>
                <w:sz w:val="17"/>
              </w:rPr>
              <w:t>Elena Marsh</w:t>
            </w:r>
          </w:p>
        </w:tc>
      </w:tr>
      <w:tr>
        <w:trPr>
          <w:cantSplit w:val="true"/>
        </w:trPr>
        <w:tc>
          <w:tcPr>
            <w:tcW w:type="dxa" w:w="2160"/>
            <w:tcMar>
              <w:top w:w="45" w:type="dxa"/>
              <w:left w:w="80" w:type="dxa"/>
              <w:bottom w:w="45" w:type="dxa"/>
              <w:right w:w="60" w:type="dxa"/>
            </w:tcMar>
            <w:vAlign w:val="top"/>
          </w:tcPr>
          <w:p>
            <w:pPr>
              <w:pStyle w:val="IGCell"/>
              <w:keepNext/>
              <w:spacing w:after="0"/>
            </w:pPr>
            <w:r>
              <w:rPr>
                <w:rFonts w:ascii="Arial" w:hAnsi="Arial" w:cs="Arial" w:eastAsia="Arial"/>
                <w:b/>
                <w:color w:val="192E43"/>
                <w:sz w:val="17"/>
              </w:rPr>
              <w:t>Mid-year adjustment memo</w:t>
            </w:r>
          </w:p>
        </w:tc>
        <w:tc>
          <w:tcPr>
            <w:tcW w:type="dxa" w:w="2016"/>
            <w:tcMar>
              <w:top w:w="45" w:type="dxa"/>
              <w:left w:w="80" w:type="dxa"/>
              <w:bottom w:w="45" w:type="dxa"/>
              <w:right w:w="60" w:type="dxa"/>
            </w:tcMar>
            <w:vAlign w:val="top"/>
          </w:tcPr>
          <w:p>
            <w:pPr>
              <w:pStyle w:val="IGCell"/>
              <w:keepNext/>
              <w:spacing w:after="0"/>
            </w:pPr>
            <w:r>
              <w:rPr>
                <w:rFonts w:ascii="Arial" w:hAnsi="Arial" w:cs="Arial" w:eastAsia="Arial"/>
                <w:color w:val="192E43"/>
                <w:sz w:val="17"/>
              </w:rPr>
              <w:t>County Executive</w:t>
            </w:r>
          </w:p>
        </w:tc>
        <w:tc>
          <w:tcPr>
            <w:tcW w:type="dxa" w:w="2016"/>
            <w:tcMar>
              <w:top w:w="45" w:type="dxa"/>
              <w:left w:w="80" w:type="dxa"/>
              <w:bottom w:w="45" w:type="dxa"/>
              <w:right w:w="60" w:type="dxa"/>
            </w:tcMar>
            <w:vAlign w:val="top"/>
          </w:tcPr>
          <w:p>
            <w:pPr>
              <w:pStyle w:val="IGCell"/>
              <w:keepNext/>
              <w:spacing w:after="0"/>
            </w:pPr>
            <w:r>
              <w:rPr>
                <w:rFonts w:ascii="Arial" w:hAnsi="Arial" w:cs="Arial" w:eastAsia="Arial"/>
                <w:color w:val="192E43"/>
                <w:sz w:val="17"/>
              </w:rPr>
              <w:t>Two pages. Proposed changes and reasons.</w:t>
            </w:r>
          </w:p>
        </w:tc>
        <w:tc>
          <w:tcPr>
            <w:tcW w:type="dxa" w:w="2160"/>
            <w:tcMar>
              <w:top w:w="45" w:type="dxa"/>
              <w:left w:w="80" w:type="dxa"/>
              <w:bottom w:w="45" w:type="dxa"/>
              <w:right w:w="60" w:type="dxa"/>
            </w:tcMar>
            <w:vAlign w:val="top"/>
          </w:tcPr>
          <w:p>
            <w:pPr>
              <w:pStyle w:val="IGCell"/>
              <w:keepNext/>
              <w:spacing w:after="0"/>
            </w:pPr>
            <w:r>
              <w:rPr>
                <w:rFonts w:ascii="Arial" w:hAnsi="Arial" w:cs="Arial" w:eastAsia="Arial"/>
                <w:color w:val="192E43"/>
                <w:sz w:val="17"/>
              </w:rPr>
              <w:t>Jul 22</w:t>
            </w:r>
          </w:p>
        </w:tc>
        <w:tc>
          <w:tcPr>
            <w:tcW w:type="dxa" w:w="1296"/>
            <w:tcMar>
              <w:top w:w="45" w:type="dxa"/>
              <w:left w:w="80" w:type="dxa"/>
              <w:bottom w:w="45" w:type="dxa"/>
              <w:right w:w="60" w:type="dxa"/>
            </w:tcMar>
            <w:vAlign w:val="top"/>
          </w:tcPr>
          <w:p>
            <w:pPr>
              <w:pStyle w:val="IGCell"/>
              <w:keepNext/>
              <w:spacing w:after="0"/>
            </w:pPr>
            <w:r>
              <w:rPr>
                <w:rFonts w:ascii="Arial" w:hAnsi="Arial" w:cs="Arial" w:eastAsia="Arial"/>
                <w:color w:val="192E43"/>
                <w:sz w:val="17"/>
              </w:rPr>
              <w:t>Elena Marsh</w:t>
            </w:r>
          </w:p>
        </w:tc>
      </w:tr>
      <w:tr>
        <w:trPr>
          <w:cantSplit w:val="true"/>
        </w:trPr>
        <w:tc>
          <w:tcPr>
            <w:tcW w:type="dxa" w:w="2160"/>
            <w:tcMar>
              <w:top w:w="45" w:type="dxa"/>
              <w:left w:w="80" w:type="dxa"/>
              <w:bottom w:w="45" w:type="dxa"/>
              <w:right w:w="60" w:type="dxa"/>
            </w:tcMar>
            <w:vAlign w:val="top"/>
          </w:tcPr>
          <w:p>
            <w:pPr>
              <w:pStyle w:val="IGCell"/>
              <w:spacing w:after="0"/>
            </w:pPr>
            <w:r>
              <w:rPr>
                <w:rFonts w:ascii="Arial" w:hAnsi="Arial" w:cs="Arial" w:eastAsia="Arial"/>
                <w:b/>
                <w:color w:val="192E43"/>
                <w:sz w:val="17"/>
              </w:rPr>
              <w:t>Year-end report</w:t>
            </w:r>
          </w:p>
        </w:tc>
        <w:tc>
          <w:tcPr>
            <w:tcW w:type="dxa" w:w="2016"/>
            <w:tcMar>
              <w:top w:w="45" w:type="dxa"/>
              <w:left w:w="80" w:type="dxa"/>
              <w:bottom w:w="45" w:type="dxa"/>
              <w:right w:w="60" w:type="dxa"/>
            </w:tcMar>
            <w:vAlign w:val="top"/>
          </w:tcPr>
          <w:p>
            <w:pPr>
              <w:pStyle w:val="IGCell"/>
              <w:spacing w:after="0"/>
            </w:pPr>
            <w:r>
              <w:rPr>
                <w:rFonts w:ascii="Arial" w:hAnsi="Arial" w:cs="Arial" w:eastAsia="Arial"/>
                <w:color w:val="192E43"/>
                <w:sz w:val="17"/>
              </w:rPr>
              <w:t>County Executive and Board</w:t>
            </w:r>
          </w:p>
        </w:tc>
        <w:tc>
          <w:tcPr>
            <w:tcW w:type="dxa" w:w="2016"/>
            <w:tcMar>
              <w:top w:w="45" w:type="dxa"/>
              <w:left w:w="80" w:type="dxa"/>
              <w:bottom w:w="45" w:type="dxa"/>
              <w:right w:w="60" w:type="dxa"/>
            </w:tcMar>
            <w:vAlign w:val="top"/>
          </w:tcPr>
          <w:p>
            <w:pPr>
              <w:pStyle w:val="IGCell"/>
              <w:spacing w:after="0"/>
            </w:pPr>
            <w:r>
              <w:rPr>
                <w:rFonts w:ascii="Arial" w:hAnsi="Arial" w:cs="Arial" w:eastAsia="Arial"/>
                <w:color w:val="192E43"/>
                <w:sz w:val="17"/>
              </w:rPr>
              <w:t>Outcomes against each objective.</w:t>
            </w:r>
          </w:p>
        </w:tc>
        <w:tc>
          <w:tcPr>
            <w:tcW w:type="dxa" w:w="2160"/>
            <w:tcMar>
              <w:top w:w="45" w:type="dxa"/>
              <w:left w:w="80" w:type="dxa"/>
              <w:bottom w:w="45" w:type="dxa"/>
              <w:right w:w="60" w:type="dxa"/>
            </w:tcMar>
            <w:vAlign w:val="top"/>
          </w:tcPr>
          <w:p>
            <w:pPr>
              <w:pStyle w:val="IGCell"/>
              <w:spacing w:after="0"/>
            </w:pPr>
            <w:r>
              <w:rPr>
                <w:rFonts w:ascii="Arial" w:hAnsi="Arial" w:cs="Arial" w:eastAsia="Arial"/>
                <w:color w:val="192E43"/>
                <w:sz w:val="17"/>
              </w:rPr>
              <w:t>January 2028</w:t>
            </w:r>
          </w:p>
        </w:tc>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7"/>
              </w:rPr>
              <w:t>Elena Marsh</w:t>
            </w:r>
          </w:p>
        </w:tc>
      </w:tr>
    </w:tbl>
    <w:p>
      <w:pPr>
        <w:spacing w:after="80" w:line="144" w:lineRule="auto"/>
      </w:pPr>
    </w:p>
    <w:p>
      <w:pPr>
        <w:pStyle w:val="Heading2"/>
      </w:pPr>
      <w:r>
        <w:t>11.3 Status definitions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728"/>
        <w:gridCol w:w="7920"/>
      </w:tblGrid>
      <w:tr>
        <w:trPr>
          <w:tblHeader w:val="true"/>
          <w:cantSplit w:val="true"/>
        </w:trPr>
        <w:tc>
          <w:tcPr>
            <w:tcW w:type="dxa" w:w="1728"/>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Status</w:t>
            </w:r>
          </w:p>
        </w:tc>
        <w:tc>
          <w:tcPr>
            <w:tcW w:type="dxa" w:w="7920"/>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Meaning</w:t>
            </w:r>
          </w:p>
        </w:tc>
      </w:tr>
      <w:tr>
        <w:trPr>
          <w:cantSplit w:val="true"/>
        </w:trPr>
        <w:tc>
          <w:tcPr>
            <w:tcW w:type="dxa" w:w="1728"/>
            <w:tcMar>
              <w:top w:w="45" w:type="dxa"/>
              <w:left w:w="80" w:type="dxa"/>
              <w:bottom w:w="45" w:type="dxa"/>
              <w:right w:w="60" w:type="dxa"/>
            </w:tcMar>
          </w:tcPr>
          <w:p>
            <w:pPr>
              <w:pStyle w:val="IGCell"/>
              <w:keepNext/>
              <w:spacing w:after="0"/>
            </w:pPr>
            <w:r>
              <w:rPr>
                <w:rFonts w:ascii="Arial" w:hAnsi="Arial" w:cs="Arial" w:eastAsia="Arial"/>
                <w:b/>
                <w:color w:val="192E43"/>
                <w:sz w:val="17"/>
              </w:rPr>
              <w:t>On Track</w:t>
            </w:r>
          </w:p>
        </w:tc>
        <w:tc>
          <w:tcPr>
            <w:tcW w:type="dxa" w:w="7920"/>
            <w:tcMar>
              <w:top w:w="45" w:type="dxa"/>
              <w:left w:w="80" w:type="dxa"/>
              <w:bottom w:w="45" w:type="dxa"/>
              <w:right w:w="60" w:type="dxa"/>
            </w:tcMar>
          </w:tcPr>
          <w:p>
            <w:pPr>
              <w:pStyle w:val="IGCell"/>
              <w:keepNext/>
              <w:spacing w:after="0"/>
            </w:pPr>
            <w:r>
              <w:rPr>
                <w:rFonts w:ascii="Arial" w:hAnsi="Arial" w:cs="Arial" w:eastAsia="Arial"/>
                <w:color w:val="192E43"/>
                <w:sz w:val="17"/>
              </w:rPr>
              <w:t>Milestones are on schedule and no open issue threatens the target date or outcome.</w:t>
            </w:r>
          </w:p>
        </w:tc>
      </w:tr>
      <w:tr>
        <w:trPr>
          <w:cantSplit w:val="true"/>
        </w:trPr>
        <w:tc>
          <w:tcPr>
            <w:tcW w:type="dxa" w:w="1728"/>
            <w:tcMar>
              <w:top w:w="45" w:type="dxa"/>
              <w:left w:w="80" w:type="dxa"/>
              <w:bottom w:w="45" w:type="dxa"/>
              <w:right w:w="60" w:type="dxa"/>
            </w:tcMar>
          </w:tcPr>
          <w:p>
            <w:pPr>
              <w:pStyle w:val="IGCell"/>
              <w:keepNext/>
              <w:spacing w:after="0"/>
            </w:pPr>
            <w:r>
              <w:rPr>
                <w:rFonts w:ascii="Arial" w:hAnsi="Arial" w:cs="Arial" w:eastAsia="Arial"/>
                <w:b/>
                <w:color w:val="192E43"/>
                <w:sz w:val="17"/>
              </w:rPr>
              <w:t>At Risk</w:t>
            </w:r>
          </w:p>
        </w:tc>
        <w:tc>
          <w:tcPr>
            <w:tcW w:type="dxa" w:w="7920"/>
            <w:tcMar>
              <w:top w:w="45" w:type="dxa"/>
              <w:left w:w="80" w:type="dxa"/>
              <w:bottom w:w="45" w:type="dxa"/>
              <w:right w:w="60" w:type="dxa"/>
            </w:tcMar>
          </w:tcPr>
          <w:p>
            <w:pPr>
              <w:pStyle w:val="IGCell"/>
              <w:keepNext/>
              <w:spacing w:after="0"/>
            </w:pPr>
            <w:r>
              <w:rPr>
                <w:rFonts w:ascii="Arial" w:hAnsi="Arial" w:cs="Arial" w:eastAsia="Arial"/>
                <w:color w:val="192E43"/>
                <w:sz w:val="17"/>
              </w:rPr>
              <w:t>A milestone is late, a dependency is unresolved, or an assumption is in doubt. The target can still be met with an adjustment or a decision.</w:t>
            </w:r>
          </w:p>
        </w:tc>
      </w:tr>
      <w:tr>
        <w:trPr>
          <w:cantSplit w:val="true"/>
        </w:trPr>
        <w:tc>
          <w:tcPr>
            <w:tcW w:type="dxa" w:w="1728"/>
            <w:tcMar>
              <w:top w:w="45" w:type="dxa"/>
              <w:left w:w="80" w:type="dxa"/>
              <w:bottom w:w="45" w:type="dxa"/>
              <w:right w:w="60" w:type="dxa"/>
            </w:tcMar>
          </w:tcPr>
          <w:p>
            <w:pPr>
              <w:pStyle w:val="IGCell"/>
              <w:keepNext/>
              <w:spacing w:after="0"/>
            </w:pPr>
            <w:r>
              <w:rPr>
                <w:rFonts w:ascii="Arial" w:hAnsi="Arial" w:cs="Arial" w:eastAsia="Arial"/>
                <w:b/>
                <w:color w:val="192E43"/>
                <w:sz w:val="17"/>
              </w:rPr>
              <w:t>Off Track</w:t>
            </w:r>
          </w:p>
        </w:tc>
        <w:tc>
          <w:tcPr>
            <w:tcW w:type="dxa" w:w="7920"/>
            <w:tcMar>
              <w:top w:w="45" w:type="dxa"/>
              <w:left w:w="80" w:type="dxa"/>
              <w:bottom w:w="45" w:type="dxa"/>
              <w:right w:w="60" w:type="dxa"/>
            </w:tcMar>
          </w:tcPr>
          <w:p>
            <w:pPr>
              <w:pStyle w:val="IGCell"/>
              <w:keepNext/>
              <w:spacing w:after="0"/>
            </w:pPr>
            <w:r>
              <w:rPr>
                <w:rFonts w:ascii="Arial" w:hAnsi="Arial" w:cs="Arial" w:eastAsia="Arial"/>
                <w:color w:val="192E43"/>
                <w:sz w:val="17"/>
              </w:rPr>
              <w:t>The target date or outcome will not be met without a change in scope, schedule, or a leadership decision.</w:t>
            </w:r>
          </w:p>
        </w:tc>
      </w:tr>
      <w:tr>
        <w:trPr>
          <w:cantSplit w:val="true"/>
        </w:trPr>
        <w:tc>
          <w:tcPr>
            <w:tcW w:type="dxa" w:w="1728"/>
            <w:tcMar>
              <w:top w:w="45" w:type="dxa"/>
              <w:left w:w="80" w:type="dxa"/>
              <w:bottom w:w="45" w:type="dxa"/>
              <w:right w:w="60" w:type="dxa"/>
            </w:tcMar>
          </w:tcPr>
          <w:p>
            <w:pPr>
              <w:pStyle w:val="IGCell"/>
              <w:keepNext/>
              <w:spacing w:after="0"/>
            </w:pPr>
            <w:r>
              <w:rPr>
                <w:rFonts w:ascii="Arial" w:hAnsi="Arial" w:cs="Arial" w:eastAsia="Arial"/>
                <w:b/>
                <w:color w:val="192E43"/>
                <w:sz w:val="17"/>
              </w:rPr>
              <w:t>Complete</w:t>
            </w:r>
          </w:p>
        </w:tc>
        <w:tc>
          <w:tcPr>
            <w:tcW w:type="dxa" w:w="7920"/>
            <w:tcMar>
              <w:top w:w="45" w:type="dxa"/>
              <w:left w:w="80" w:type="dxa"/>
              <w:bottom w:w="45" w:type="dxa"/>
              <w:right w:w="60" w:type="dxa"/>
            </w:tcMar>
          </w:tcPr>
          <w:p>
            <w:pPr>
              <w:pStyle w:val="IGCell"/>
              <w:keepNext/>
              <w:spacing w:after="0"/>
            </w:pPr>
            <w:r>
              <w:rPr>
                <w:rFonts w:ascii="Arial" w:hAnsi="Arial" w:cs="Arial" w:eastAsia="Arial"/>
                <w:color w:val="192E43"/>
                <w:sz w:val="17"/>
              </w:rPr>
              <w:t>The outcome occurred and the success measure was met.</w:t>
            </w:r>
          </w:p>
        </w:tc>
      </w:tr>
      <w:tr>
        <w:trPr>
          <w:cantSplit w:val="true"/>
        </w:trPr>
        <w:tc>
          <w:tcPr>
            <w:tcW w:type="dxa" w:w="1728"/>
            <w:tcMar>
              <w:top w:w="45" w:type="dxa"/>
              <w:left w:w="80" w:type="dxa"/>
              <w:bottom w:w="45" w:type="dxa"/>
              <w:right w:w="60" w:type="dxa"/>
            </w:tcMar>
          </w:tcPr>
          <w:p>
            <w:pPr>
              <w:pStyle w:val="IGCell"/>
              <w:spacing w:after="0"/>
            </w:pPr>
            <w:r>
              <w:rPr>
                <w:rFonts w:ascii="Arial" w:hAnsi="Arial" w:cs="Arial" w:eastAsia="Arial"/>
                <w:b/>
                <w:color w:val="192E43"/>
                <w:sz w:val="17"/>
              </w:rPr>
              <w:t>Deferred</w:t>
            </w:r>
          </w:p>
        </w:tc>
        <w:tc>
          <w:tcPr>
            <w:tcW w:type="dxa" w:w="7920"/>
            <w:tcMar>
              <w:top w:w="45" w:type="dxa"/>
              <w:left w:w="80" w:type="dxa"/>
              <w:bottom w:w="45" w:type="dxa"/>
              <w:right w:w="60" w:type="dxa"/>
            </w:tcMar>
          </w:tcPr>
          <w:p>
            <w:pPr>
              <w:pStyle w:val="IGCell"/>
              <w:spacing w:after="0"/>
            </w:pPr>
            <w:r>
              <w:rPr>
                <w:rFonts w:ascii="Arial" w:hAnsi="Arial" w:cs="Arial" w:eastAsia="Arial"/>
                <w:color w:val="192E43"/>
                <w:sz w:val="17"/>
              </w:rPr>
              <w:t>Leadership deliberately postponed the objective.</w:t>
            </w:r>
          </w:p>
        </w:tc>
      </w:tr>
    </w:tbl>
    <w:p>
      <w:pPr>
        <w:spacing w:after="80" w:line="144" w:lineRule="auto"/>
      </w:pPr>
    </w:p>
    <w:p>
      <w:pPr>
        <w:pStyle w:val="IGSmall"/>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Practitioner note.  </w:t>
      </w:r>
      <w:r>
        <w:rPr>
          <w:rFonts w:ascii="Arial" w:hAnsi="Arial" w:cs="Arial" w:eastAsia="Arial"/>
          <w:color w:val="52606D"/>
          <w:sz w:val="17"/>
        </w:rPr>
        <w:t>Percent complete in the tracker counts milestones. It shows schedule progress, not whether the outcome will occur. OBJ-1 is 63 percent complete and On Track. OBJ-4 is 0 percent complete and At Risk. Neither number means much without the status and the evidence behind it, which is why reports lead with status.</w:t>
      </w:r>
    </w:p>
    <w:p>
      <w:pPr>
        <w:pStyle w:val="Heading1"/>
      </w:pPr>
      <w:r>
        <w:t>12. Quarterly Review and Adjustment</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Keeps the plan current by reviewing progress against objectives, recording what changed, and putting decisions in front of leadership.</w:t>
      </w:r>
    </w:p>
    <w:p>
      <w:pPr>
        <w:pStyle w:val="Heading2"/>
      </w:pPr>
      <w:r>
        <w:t>12.1 Review agenda</w:t>
      </w:r>
    </w:p>
    <w:p>
      <w:pPr>
        <w:pStyle w:val="ListBullet"/>
        <w:keepNext/>
        <w:keepLines/>
        <w:spacing w:after="60"/>
      </w:pPr>
      <w:r>
        <w:rPr>
          <w:rFonts w:ascii="Arial" w:hAnsi="Arial" w:cs="Arial" w:eastAsia="Arial"/>
          <w:sz w:val="19"/>
        </w:rPr>
        <w:t>Status of each objective, with evidence. Start with the objectives that moved.</w:t>
      </w:r>
    </w:p>
    <w:p>
      <w:pPr>
        <w:pStyle w:val="ListBullet"/>
        <w:keepNext/>
        <w:keepLines/>
        <w:spacing w:after="60"/>
      </w:pPr>
      <w:r>
        <w:rPr>
          <w:rFonts w:ascii="Arial" w:hAnsi="Arial" w:cs="Arial" w:eastAsia="Arial"/>
          <w:sz w:val="19"/>
        </w:rPr>
        <w:t>Milestones overdue or due within 30 days, and dependencies that now affect another objective.</w:t>
      </w:r>
    </w:p>
    <w:p>
      <w:pPr>
        <w:pStyle w:val="ListBullet"/>
        <w:keepNext/>
        <w:keepLines/>
        <w:spacing w:after="60"/>
      </w:pPr>
      <w:r>
        <w:rPr>
          <w:rFonts w:ascii="Arial" w:hAnsi="Arial" w:cs="Arial" w:eastAsia="Arial"/>
          <w:sz w:val="19"/>
        </w:rPr>
        <w:t>Risks that rose, risks past their review date, and escalations still open.</w:t>
      </w:r>
    </w:p>
    <w:p>
      <w:pPr>
        <w:pStyle w:val="ListBullet"/>
        <w:keepNext/>
        <w:keepLines/>
        <w:spacing w:after="60"/>
      </w:pPr>
      <w:r>
        <w:rPr>
          <w:rFonts w:ascii="Arial" w:hAnsi="Arial" w:cs="Arial" w:eastAsia="Arial"/>
          <w:sz w:val="19"/>
        </w:rPr>
        <w:t>Relationships overdue for contact or showing a change in posture.</w:t>
      </w:r>
    </w:p>
    <w:p>
      <w:pPr>
        <w:pStyle w:val="ListBullet"/>
        <w:keepLines/>
        <w:spacing w:after="60"/>
      </w:pPr>
      <w:r>
        <w:rPr>
          <w:rFonts w:ascii="Arial" w:hAnsi="Arial" w:cs="Arial" w:eastAsia="Arial"/>
          <w:sz w:val="19"/>
        </w:rPr>
        <w:t>Decisions needed from leadership, with dates. Changes to the plan to approve.</w:t>
      </w:r>
    </w:p>
    <w:p>
      <w:pPr>
        <w:pStyle w:val="Heading2"/>
      </w:pPr>
      <w:r>
        <w:t>12.2 Status by quarter</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3311"/>
        <w:gridCol w:w="1584"/>
        <w:gridCol w:w="1584"/>
        <w:gridCol w:w="1584"/>
        <w:gridCol w:w="1584"/>
      </w:tblGrid>
      <w:tr>
        <w:trPr>
          <w:tblHeader w:val="true"/>
          <w:cantSplit w:val="true"/>
        </w:trPr>
        <w:tc>
          <w:tcPr>
            <w:tcW w:type="dxa" w:w="331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Objective</w:t>
            </w:r>
          </w:p>
        </w:tc>
        <w:tc>
          <w:tcPr>
            <w:tcW w:type="dxa" w:w="1584"/>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Q1</w:t>
            </w:r>
          </w:p>
        </w:tc>
        <w:tc>
          <w:tcPr>
            <w:tcW w:type="dxa" w:w="1584"/>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Q2</w:t>
            </w:r>
          </w:p>
        </w:tc>
        <w:tc>
          <w:tcPr>
            <w:tcW w:type="dxa" w:w="1584"/>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Q3</w:t>
            </w:r>
          </w:p>
        </w:tc>
        <w:tc>
          <w:tcPr>
            <w:tcW w:type="dxa" w:w="1584"/>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Q4</w:t>
            </w:r>
          </w:p>
        </w:tc>
      </w:tr>
      <w:tr>
        <w:trPr>
          <w:cantSplit w:val="true"/>
        </w:trPr>
        <w:tc>
          <w:tcPr>
            <w:tcW w:type="dxa" w:w="3312"/>
            <w:tcMar>
              <w:top w:w="45" w:type="dxa"/>
              <w:left w:w="80" w:type="dxa"/>
              <w:bottom w:w="45" w:type="dxa"/>
              <w:right w:w="60" w:type="dxa"/>
            </w:tcMar>
            <w:vAlign w:val="top"/>
          </w:tcPr>
          <w:p>
            <w:pPr>
              <w:pStyle w:val="IGCell"/>
              <w:spacing w:after="0"/>
            </w:pPr>
            <w:r>
              <w:rPr>
                <w:rFonts w:ascii="Arial" w:hAnsi="Arial" w:cs="Arial" w:eastAsia="Arial"/>
                <w:b/>
                <w:color w:val="192E43"/>
                <w:sz w:val="17"/>
              </w:rPr>
              <w:t>OBJ-1  SB 214 enacted with the county option intact</w:t>
            </w:r>
          </w:p>
        </w:tc>
        <w:tc>
          <w:tcPr>
            <w:tcW w:type="dxa" w:w="1584"/>
            <w:tcMar>
              <w:top w:w="45" w:type="dxa"/>
              <w:left w:w="80" w:type="dxa"/>
              <w:bottom w:w="45" w:type="dxa"/>
              <w:right w:w="60" w:type="dxa"/>
            </w:tcMar>
            <w:vAlign w:val="top"/>
          </w:tcPr>
          <w:p>
            <w:pPr>
              <w:pStyle w:val="IGCell"/>
              <w:spacing w:after="0"/>
            </w:pPr>
            <w:r>
              <w:rPr>
                <w:rFonts w:ascii="Arial" w:hAnsi="Arial" w:cs="Arial" w:eastAsia="Arial"/>
                <w:color w:val="192E43"/>
                <w:sz w:val="17"/>
              </w:rPr>
              <w:t>On Track</w:t>
            </w:r>
          </w:p>
        </w:tc>
        <w:tc>
          <w:tcPr>
            <w:tcW w:type="dxa" w:w="1584"/>
            <w:tcMar>
              <w:top w:w="45" w:type="dxa"/>
              <w:left w:w="80" w:type="dxa"/>
              <w:bottom w:w="45" w:type="dxa"/>
              <w:right w:w="60" w:type="dxa"/>
            </w:tcMar>
            <w:vAlign w:val="top"/>
          </w:tcPr>
          <w:p>
            <w:pPr>
              <w:pStyle w:val="IGCell"/>
              <w:spacing w:after="0"/>
            </w:pPr>
          </w:p>
        </w:tc>
        <w:tc>
          <w:tcPr>
            <w:tcW w:type="dxa" w:w="1584"/>
            <w:tcMar>
              <w:top w:w="45" w:type="dxa"/>
              <w:left w:w="80" w:type="dxa"/>
              <w:bottom w:w="45" w:type="dxa"/>
              <w:right w:w="60" w:type="dxa"/>
            </w:tcMar>
            <w:vAlign w:val="top"/>
          </w:tcPr>
          <w:p>
            <w:pPr>
              <w:pStyle w:val="IGCell"/>
              <w:spacing w:after="0"/>
            </w:pPr>
          </w:p>
        </w:tc>
        <w:tc>
          <w:tcPr>
            <w:tcW w:type="dxa" w:w="1584"/>
            <w:tcMar>
              <w:top w:w="45" w:type="dxa"/>
              <w:left w:w="80" w:type="dxa"/>
              <w:bottom w:w="45" w:type="dxa"/>
              <w:right w:w="60" w:type="dxa"/>
            </w:tcMar>
            <w:vAlign w:val="top"/>
          </w:tcPr>
          <w:p>
            <w:pPr>
              <w:pStyle w:val="IGCell"/>
              <w:spacing w:after="0"/>
            </w:pPr>
          </w:p>
        </w:tc>
      </w:tr>
      <w:tr>
        <w:trPr>
          <w:cantSplit w:val="true"/>
        </w:trPr>
        <w:tc>
          <w:tcPr>
            <w:tcW w:type="dxa" w:w="3312"/>
            <w:tcMar>
              <w:top w:w="45" w:type="dxa"/>
              <w:left w:w="80" w:type="dxa"/>
              <w:bottom w:w="45" w:type="dxa"/>
              <w:right w:w="60" w:type="dxa"/>
            </w:tcMar>
            <w:vAlign w:val="top"/>
          </w:tcPr>
          <w:p>
            <w:pPr>
              <w:pStyle w:val="IGCell"/>
              <w:spacing w:after="0"/>
            </w:pPr>
            <w:r>
              <w:rPr>
                <w:rFonts w:ascii="Arial" w:hAnsi="Arial" w:cs="Arial" w:eastAsia="Arial"/>
                <w:b/>
                <w:color w:val="192E43"/>
                <w:sz w:val="17"/>
              </w:rPr>
              <w:t>OBJ-2  County authority to apply stricter local standards retained</w:t>
            </w:r>
          </w:p>
        </w:tc>
        <w:tc>
          <w:tcPr>
            <w:tcW w:type="dxa" w:w="1584"/>
            <w:tcMar>
              <w:top w:w="45" w:type="dxa"/>
              <w:left w:w="80" w:type="dxa"/>
              <w:bottom w:w="45" w:type="dxa"/>
              <w:right w:w="60" w:type="dxa"/>
            </w:tcMar>
            <w:vAlign w:val="top"/>
          </w:tcPr>
          <w:p>
            <w:pPr>
              <w:pStyle w:val="IGCell"/>
              <w:spacing w:after="0"/>
            </w:pPr>
            <w:r>
              <w:rPr>
                <w:rFonts w:ascii="Arial" w:hAnsi="Arial" w:cs="Arial" w:eastAsia="Arial"/>
                <w:color w:val="192E43"/>
                <w:sz w:val="17"/>
              </w:rPr>
              <w:t>On Track</w:t>
            </w:r>
          </w:p>
        </w:tc>
        <w:tc>
          <w:tcPr>
            <w:tcW w:type="dxa" w:w="1584"/>
            <w:tcMar>
              <w:top w:w="45" w:type="dxa"/>
              <w:left w:w="80" w:type="dxa"/>
              <w:bottom w:w="45" w:type="dxa"/>
              <w:right w:w="60" w:type="dxa"/>
            </w:tcMar>
            <w:vAlign w:val="top"/>
          </w:tcPr>
          <w:p>
            <w:pPr>
              <w:pStyle w:val="IGCell"/>
              <w:spacing w:after="0"/>
            </w:pPr>
          </w:p>
        </w:tc>
        <w:tc>
          <w:tcPr>
            <w:tcW w:type="dxa" w:w="1584"/>
            <w:tcMar>
              <w:top w:w="45" w:type="dxa"/>
              <w:left w:w="80" w:type="dxa"/>
              <w:bottom w:w="45" w:type="dxa"/>
              <w:right w:w="60" w:type="dxa"/>
            </w:tcMar>
            <w:vAlign w:val="top"/>
          </w:tcPr>
          <w:p>
            <w:pPr>
              <w:pStyle w:val="IGCell"/>
              <w:spacing w:after="0"/>
            </w:pPr>
          </w:p>
        </w:tc>
        <w:tc>
          <w:tcPr>
            <w:tcW w:type="dxa" w:w="1584"/>
            <w:tcMar>
              <w:top w:w="45" w:type="dxa"/>
              <w:left w:w="80" w:type="dxa"/>
              <w:bottom w:w="45" w:type="dxa"/>
              <w:right w:w="60" w:type="dxa"/>
            </w:tcMar>
            <w:vAlign w:val="top"/>
          </w:tcPr>
          <w:p>
            <w:pPr>
              <w:pStyle w:val="IGCell"/>
              <w:spacing w:after="0"/>
            </w:pPr>
          </w:p>
        </w:tc>
      </w:tr>
      <w:tr>
        <w:trPr>
          <w:cantSplit w:val="true"/>
        </w:trPr>
        <w:tc>
          <w:tcPr>
            <w:tcW w:type="dxa" w:w="3312"/>
            <w:tcMar>
              <w:top w:w="45" w:type="dxa"/>
              <w:left w:w="80" w:type="dxa"/>
              <w:bottom w:w="45" w:type="dxa"/>
              <w:right w:w="60" w:type="dxa"/>
            </w:tcMar>
            <w:vAlign w:val="top"/>
          </w:tcPr>
          <w:p>
            <w:pPr>
              <w:pStyle w:val="IGCell"/>
              <w:spacing w:after="0"/>
            </w:pPr>
            <w:r>
              <w:rPr>
                <w:rFonts w:ascii="Arial" w:hAnsi="Arial" w:cs="Arial" w:eastAsia="Arial"/>
                <w:b/>
                <w:color w:val="192E43"/>
                <w:sz w:val="17"/>
              </w:rPr>
              <w:t>OBJ-3  Application submitted with committed match</w:t>
            </w:r>
          </w:p>
        </w:tc>
        <w:tc>
          <w:tcPr>
            <w:tcW w:type="dxa" w:w="1584"/>
            <w:tcMar>
              <w:top w:w="45" w:type="dxa"/>
              <w:left w:w="80" w:type="dxa"/>
              <w:bottom w:w="45" w:type="dxa"/>
              <w:right w:w="60" w:type="dxa"/>
            </w:tcMar>
            <w:vAlign w:val="top"/>
          </w:tcPr>
          <w:p>
            <w:pPr>
              <w:pStyle w:val="IGCell"/>
              <w:spacing w:after="0"/>
            </w:pPr>
            <w:r>
              <w:rPr>
                <w:rFonts w:ascii="Arial" w:hAnsi="Arial" w:cs="Arial" w:eastAsia="Arial"/>
                <w:color w:val="192E43"/>
                <w:sz w:val="17"/>
              </w:rPr>
              <w:t>At Risk</w:t>
            </w:r>
          </w:p>
        </w:tc>
        <w:tc>
          <w:tcPr>
            <w:tcW w:type="dxa" w:w="1584"/>
            <w:tcMar>
              <w:top w:w="45" w:type="dxa"/>
              <w:left w:w="80" w:type="dxa"/>
              <w:bottom w:w="45" w:type="dxa"/>
              <w:right w:w="60" w:type="dxa"/>
            </w:tcMar>
            <w:vAlign w:val="top"/>
          </w:tcPr>
          <w:p>
            <w:pPr>
              <w:pStyle w:val="IGCell"/>
              <w:spacing w:after="0"/>
            </w:pPr>
          </w:p>
        </w:tc>
        <w:tc>
          <w:tcPr>
            <w:tcW w:type="dxa" w:w="1584"/>
            <w:tcMar>
              <w:top w:w="45" w:type="dxa"/>
              <w:left w:w="80" w:type="dxa"/>
              <w:bottom w:w="45" w:type="dxa"/>
              <w:right w:w="60" w:type="dxa"/>
            </w:tcMar>
            <w:vAlign w:val="top"/>
          </w:tcPr>
          <w:p>
            <w:pPr>
              <w:pStyle w:val="IGCell"/>
              <w:spacing w:after="0"/>
            </w:pPr>
          </w:p>
        </w:tc>
        <w:tc>
          <w:tcPr>
            <w:tcW w:type="dxa" w:w="1584"/>
            <w:tcMar>
              <w:top w:w="45" w:type="dxa"/>
              <w:left w:w="80" w:type="dxa"/>
              <w:bottom w:w="45" w:type="dxa"/>
              <w:right w:w="60" w:type="dxa"/>
            </w:tcMar>
            <w:vAlign w:val="top"/>
          </w:tcPr>
          <w:p>
            <w:pPr>
              <w:pStyle w:val="IGCell"/>
              <w:spacing w:after="0"/>
            </w:pPr>
          </w:p>
        </w:tc>
      </w:tr>
      <w:tr>
        <w:trPr>
          <w:cantSplit w:val="true"/>
        </w:trPr>
        <w:tc>
          <w:tcPr>
            <w:tcW w:type="dxa" w:w="3312"/>
            <w:tcMar>
              <w:top w:w="45" w:type="dxa"/>
              <w:left w:w="80" w:type="dxa"/>
              <w:bottom w:w="45" w:type="dxa"/>
              <w:right w:w="60" w:type="dxa"/>
            </w:tcMar>
            <w:vAlign w:val="top"/>
          </w:tcPr>
          <w:p>
            <w:pPr>
              <w:pStyle w:val="IGCell"/>
              <w:spacing w:after="0"/>
            </w:pPr>
            <w:r>
              <w:rPr>
                <w:rFonts w:ascii="Arial" w:hAnsi="Arial" w:cs="Arial" w:eastAsia="Arial"/>
                <w:b/>
                <w:color w:val="192E43"/>
                <w:sz w:val="17"/>
              </w:rPr>
              <w:t>OBJ-4  Agreement executed by all three governing bodies</w:t>
            </w:r>
          </w:p>
        </w:tc>
        <w:tc>
          <w:tcPr>
            <w:tcW w:type="dxa" w:w="1584"/>
            <w:tcMar>
              <w:top w:w="45" w:type="dxa"/>
              <w:left w:w="80" w:type="dxa"/>
              <w:bottom w:w="45" w:type="dxa"/>
              <w:right w:w="60" w:type="dxa"/>
            </w:tcMar>
            <w:vAlign w:val="top"/>
          </w:tcPr>
          <w:p>
            <w:pPr>
              <w:pStyle w:val="IGCell"/>
              <w:spacing w:after="0"/>
            </w:pPr>
            <w:r>
              <w:rPr>
                <w:rFonts w:ascii="Arial" w:hAnsi="Arial" w:cs="Arial" w:eastAsia="Arial"/>
                <w:color w:val="192E43"/>
                <w:sz w:val="17"/>
              </w:rPr>
              <w:t>At Risk</w:t>
            </w:r>
          </w:p>
        </w:tc>
        <w:tc>
          <w:tcPr>
            <w:tcW w:type="dxa" w:w="1584"/>
            <w:tcMar>
              <w:top w:w="45" w:type="dxa"/>
              <w:left w:w="80" w:type="dxa"/>
              <w:bottom w:w="45" w:type="dxa"/>
              <w:right w:w="60" w:type="dxa"/>
            </w:tcMar>
            <w:vAlign w:val="top"/>
          </w:tcPr>
          <w:p>
            <w:pPr>
              <w:pStyle w:val="IGCell"/>
              <w:spacing w:after="0"/>
            </w:pPr>
          </w:p>
        </w:tc>
        <w:tc>
          <w:tcPr>
            <w:tcW w:type="dxa" w:w="1584"/>
            <w:tcMar>
              <w:top w:w="45" w:type="dxa"/>
              <w:left w:w="80" w:type="dxa"/>
              <w:bottom w:w="45" w:type="dxa"/>
              <w:right w:w="60" w:type="dxa"/>
            </w:tcMar>
            <w:vAlign w:val="top"/>
          </w:tcPr>
          <w:p>
            <w:pPr>
              <w:pStyle w:val="IGCell"/>
              <w:spacing w:after="0"/>
            </w:pPr>
          </w:p>
        </w:tc>
        <w:tc>
          <w:tcPr>
            <w:tcW w:type="dxa" w:w="1584"/>
            <w:tcMar>
              <w:top w:w="45" w:type="dxa"/>
              <w:left w:w="80" w:type="dxa"/>
              <w:bottom w:w="45" w:type="dxa"/>
              <w:right w:w="60" w:type="dxa"/>
            </w:tcMar>
            <w:vAlign w:val="top"/>
          </w:tcPr>
          <w:p>
            <w:pPr>
              <w:pStyle w:val="IGCell"/>
              <w:spacing w:after="0"/>
            </w:pPr>
          </w:p>
        </w:tc>
      </w:tr>
      <w:tr>
        <w:trPr>
          <w:cantSplit w:val="true"/>
        </w:trPr>
        <w:tc>
          <w:tcPr>
            <w:tcW w:type="dxa" w:w="3312"/>
            <w:tcMar>
              <w:top w:w="45" w:type="dxa"/>
              <w:left w:w="80" w:type="dxa"/>
              <w:bottom w:w="45" w:type="dxa"/>
              <w:right w:w="60" w:type="dxa"/>
            </w:tcMar>
            <w:vAlign w:val="top"/>
          </w:tcPr>
          <w:p>
            <w:pPr>
              <w:pStyle w:val="IGCell"/>
              <w:spacing w:after="0"/>
            </w:pPr>
            <w:r>
              <w:rPr>
                <w:rFonts w:ascii="Arial" w:hAnsi="Arial" w:cs="Arial" w:eastAsia="Arial"/>
                <w:b/>
                <w:color w:val="192E43"/>
                <w:sz w:val="17"/>
              </w:rPr>
              <w:t>OBJ-5  Protocol agreed; two leader-level meetings held; concerns documented</w:t>
            </w:r>
          </w:p>
        </w:tc>
        <w:tc>
          <w:tcPr>
            <w:tcW w:type="dxa" w:w="1584"/>
            <w:tcMar>
              <w:top w:w="45" w:type="dxa"/>
              <w:left w:w="80" w:type="dxa"/>
              <w:bottom w:w="45" w:type="dxa"/>
              <w:right w:w="60" w:type="dxa"/>
            </w:tcMar>
            <w:vAlign w:val="top"/>
          </w:tcPr>
          <w:p>
            <w:pPr>
              <w:pStyle w:val="IGCell"/>
              <w:spacing w:after="0"/>
            </w:pPr>
            <w:r>
              <w:rPr>
                <w:rFonts w:ascii="Arial" w:hAnsi="Arial" w:cs="Arial" w:eastAsia="Arial"/>
                <w:color w:val="192E43"/>
                <w:sz w:val="17"/>
              </w:rPr>
              <w:t>Off Track</w:t>
            </w:r>
          </w:p>
        </w:tc>
        <w:tc>
          <w:tcPr>
            <w:tcW w:type="dxa" w:w="1584"/>
            <w:tcMar>
              <w:top w:w="45" w:type="dxa"/>
              <w:left w:w="80" w:type="dxa"/>
              <w:bottom w:w="45" w:type="dxa"/>
              <w:right w:w="60" w:type="dxa"/>
            </w:tcMar>
            <w:vAlign w:val="top"/>
          </w:tcPr>
          <w:p>
            <w:pPr>
              <w:pStyle w:val="IGCell"/>
              <w:spacing w:after="0"/>
            </w:pPr>
          </w:p>
        </w:tc>
        <w:tc>
          <w:tcPr>
            <w:tcW w:type="dxa" w:w="1584"/>
            <w:tcMar>
              <w:top w:w="45" w:type="dxa"/>
              <w:left w:w="80" w:type="dxa"/>
              <w:bottom w:w="45" w:type="dxa"/>
              <w:right w:w="60" w:type="dxa"/>
            </w:tcMar>
            <w:vAlign w:val="top"/>
          </w:tcPr>
          <w:p>
            <w:pPr>
              <w:pStyle w:val="IGCell"/>
              <w:spacing w:after="0"/>
            </w:pPr>
          </w:p>
        </w:tc>
        <w:tc>
          <w:tcPr>
            <w:tcW w:type="dxa" w:w="1584"/>
            <w:tcMar>
              <w:top w:w="45" w:type="dxa"/>
              <w:left w:w="80" w:type="dxa"/>
              <w:bottom w:w="45" w:type="dxa"/>
              <w:right w:w="60" w:type="dxa"/>
            </w:tcMar>
            <w:vAlign w:val="top"/>
          </w:tcPr>
          <w:p>
            <w:pPr>
              <w:pStyle w:val="IGCell"/>
              <w:spacing w:after="0"/>
            </w:pPr>
          </w:p>
        </w:tc>
      </w:tr>
      <w:tr>
        <w:trPr>
          <w:cantSplit w:val="true"/>
        </w:trPr>
        <w:tc>
          <w:tcPr>
            <w:tcW w:type="dxa" w:w="3312"/>
            <w:tcMar>
              <w:top w:w="45" w:type="dxa"/>
              <w:left w:w="80" w:type="dxa"/>
              <w:bottom w:w="45" w:type="dxa"/>
              <w:right w:w="60" w:type="dxa"/>
            </w:tcMar>
            <w:vAlign w:val="top"/>
          </w:tcPr>
          <w:p>
            <w:pPr>
              <w:pStyle w:val="IGCell"/>
              <w:spacing w:after="0"/>
            </w:pPr>
            <w:r>
              <w:rPr>
                <w:rFonts w:ascii="Arial" w:hAnsi="Arial" w:cs="Arial" w:eastAsia="Arial"/>
                <w:b/>
                <w:color w:val="192E43"/>
                <w:sz w:val="17"/>
              </w:rPr>
              <w:t>OBJ-6  Protocol adopted; Q1 to Q3 reports delivered on time</w:t>
            </w:r>
          </w:p>
        </w:tc>
        <w:tc>
          <w:tcPr>
            <w:tcW w:type="dxa" w:w="1584"/>
            <w:tcMar>
              <w:top w:w="45" w:type="dxa"/>
              <w:left w:w="80" w:type="dxa"/>
              <w:bottom w:w="45" w:type="dxa"/>
              <w:right w:w="60" w:type="dxa"/>
            </w:tcMar>
            <w:vAlign w:val="top"/>
          </w:tcPr>
          <w:p>
            <w:pPr>
              <w:pStyle w:val="IGCell"/>
              <w:spacing w:after="0"/>
            </w:pPr>
            <w:r>
              <w:rPr>
                <w:rFonts w:ascii="Arial" w:hAnsi="Arial" w:cs="Arial" w:eastAsia="Arial"/>
                <w:color w:val="192E43"/>
                <w:sz w:val="17"/>
              </w:rPr>
              <w:t>On Track</w:t>
            </w:r>
          </w:p>
        </w:tc>
        <w:tc>
          <w:tcPr>
            <w:tcW w:type="dxa" w:w="1584"/>
            <w:tcMar>
              <w:top w:w="45" w:type="dxa"/>
              <w:left w:w="80" w:type="dxa"/>
              <w:bottom w:w="45" w:type="dxa"/>
              <w:right w:w="60" w:type="dxa"/>
            </w:tcMar>
            <w:vAlign w:val="top"/>
          </w:tcPr>
          <w:p>
            <w:pPr>
              <w:pStyle w:val="IGCell"/>
              <w:spacing w:after="0"/>
            </w:pPr>
          </w:p>
        </w:tc>
        <w:tc>
          <w:tcPr>
            <w:tcW w:type="dxa" w:w="1584"/>
            <w:tcMar>
              <w:top w:w="45" w:type="dxa"/>
              <w:left w:w="80" w:type="dxa"/>
              <w:bottom w:w="45" w:type="dxa"/>
              <w:right w:w="60" w:type="dxa"/>
            </w:tcMar>
            <w:vAlign w:val="top"/>
          </w:tcPr>
          <w:p>
            <w:pPr>
              <w:pStyle w:val="IGCell"/>
              <w:spacing w:after="0"/>
            </w:pPr>
          </w:p>
        </w:tc>
        <w:tc>
          <w:tcPr>
            <w:tcW w:type="dxa" w:w="1584"/>
            <w:tcMar>
              <w:top w:w="45" w:type="dxa"/>
              <w:left w:w="80" w:type="dxa"/>
              <w:bottom w:w="45" w:type="dxa"/>
              <w:right w:w="60" w:type="dxa"/>
            </w:tcMar>
            <w:vAlign w:val="top"/>
          </w:tcPr>
          <w:p>
            <w:pPr>
              <w:pStyle w:val="IGCell"/>
              <w:spacing w:after="0"/>
            </w:pPr>
          </w:p>
        </w:tc>
      </w:tr>
    </w:tbl>
    <w:p>
      <w:pPr>
        <w:spacing w:after="80" w:line="144" w:lineRule="auto"/>
      </w:pPr>
    </w:p>
    <w:p>
      <w:pPr>
        <w:pStyle w:val="Heading2"/>
      </w:pPr>
      <w:r>
        <w:t>12.3 Review record</w:t>
      </w:r>
    </w:p>
    <w:p>
      <w:pPr>
        <w:pStyle w:val="IGSmall"/>
        <w:keepNext/>
      </w:pPr>
      <w:r>
        <w:rPr>
          <w:rFonts w:ascii="Arial" w:hAnsi="Arial" w:cs="Arial" w:eastAsia="Arial"/>
        </w:rPr>
        <w:t>Q1 review held April 6, 2027. Attended by Elena Marsh and Priya Raman.</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648"/>
        <w:gridCol w:w="792"/>
        <w:gridCol w:w="2880"/>
        <w:gridCol w:w="2448"/>
        <w:gridCol w:w="2880"/>
      </w:tblGrid>
      <w:tr>
        <w:trPr>
          <w:tblHeader w:val="true"/>
          <w:cantSplit w:val="true"/>
        </w:trPr>
        <w:tc>
          <w:tcPr>
            <w:tcW w:type="dxa" w:w="648"/>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Qtr</w:t>
            </w:r>
          </w:p>
        </w:tc>
        <w:tc>
          <w:tcPr>
            <w:tcW w:type="dxa" w:w="79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Obj.</w:t>
            </w:r>
          </w:p>
        </w:tc>
        <w:tc>
          <w:tcPr>
            <w:tcW w:type="dxa" w:w="2880"/>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Evidence of progress</w:t>
            </w:r>
          </w:p>
        </w:tc>
        <w:tc>
          <w:tcPr>
            <w:tcW w:type="dxa" w:w="2448"/>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Variance and cause</w:t>
            </w:r>
          </w:p>
        </w:tc>
        <w:tc>
          <w:tcPr>
            <w:tcW w:type="dxa" w:w="2880"/>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Adjustment made and decision needed</w:t>
            </w:r>
          </w:p>
        </w:tc>
      </w:tr>
      <w:tr>
        <w:trPr>
          <w:cantSplit w:val="true"/>
        </w:trPr>
        <w:tc>
          <w:tcPr>
            <w:tcW w:type="dxa" w:w="648"/>
            <w:tcMar>
              <w:top w:w="45" w:type="dxa"/>
              <w:left w:w="80" w:type="dxa"/>
              <w:bottom w:w="45" w:type="dxa"/>
              <w:right w:w="60" w:type="dxa"/>
            </w:tcMar>
            <w:vAlign w:val="top"/>
          </w:tcPr>
          <w:p>
            <w:pPr>
              <w:pStyle w:val="IGCell"/>
              <w:spacing w:after="0"/>
            </w:pPr>
            <w:r>
              <w:rPr>
                <w:rFonts w:ascii="Arial" w:hAnsi="Arial" w:cs="Arial" w:eastAsia="Arial"/>
                <w:color w:val="192E43"/>
                <w:sz w:val="16"/>
              </w:rPr>
              <w:t>Q1</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OBJ-1</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6"/>
              </w:rPr>
              <w:t>SB 214 filed Jan 26, reported favorably by the Senate committee Feb 24, and passed the Senate Mar 10. House committee vote set for Apr 14.</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6"/>
              </w:rPr>
              <w:t>No schedule variance. HB 530 is a new exposure that could reduce state road funds before local revenue arrives.</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6"/>
              </w:rPr>
              <w:t>Added HB 530 as a tracked priority. Requested Budget Office impact estimate.</w:t>
            </w:r>
          </w:p>
          <w:p>
            <w:pPr>
              <w:pStyle w:val="IGCell"/>
              <w:spacing w:after="0" w:before="40"/>
            </w:pPr>
            <w:r>
              <w:rPr>
                <w:rFonts w:ascii="Arial" w:hAnsi="Arial" w:cs="Arial" w:eastAsia="Arial"/>
                <w:color w:val="192E43"/>
                <w:sz w:val="16"/>
              </w:rPr>
              <w:t>Decision needed: Position on HB 530 from the Deputy County Executive by Apr 9.</w:t>
            </w:r>
          </w:p>
        </w:tc>
      </w:tr>
      <w:tr>
        <w:trPr>
          <w:cantSplit w:val="true"/>
        </w:trPr>
        <w:tc>
          <w:tcPr>
            <w:tcW w:type="dxa" w:w="648"/>
            <w:tcMar>
              <w:top w:w="45" w:type="dxa"/>
              <w:left w:w="80" w:type="dxa"/>
              <w:bottom w:w="45" w:type="dxa"/>
              <w:right w:w="60" w:type="dxa"/>
            </w:tcMar>
            <w:vAlign w:val="top"/>
          </w:tcPr>
          <w:p>
            <w:pPr>
              <w:pStyle w:val="IGCell"/>
              <w:spacing w:after="0"/>
            </w:pPr>
            <w:r>
              <w:rPr>
                <w:rFonts w:ascii="Arial" w:hAnsi="Arial" w:cs="Arial" w:eastAsia="Arial"/>
                <w:color w:val="192E43"/>
                <w:sz w:val="16"/>
              </w:rPr>
              <w:t>Q1</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OBJ-2</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6"/>
              </w:rPr>
              <w:t>Position cleared Feb 2. Opt-out amendment adopted in House committee Mar 4 and the amended bill passed the House. Senate committee action set for Apr 16.</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6"/>
              </w:rPr>
              <w:t>Amendment markup moved one week at the committee's request. Sponsor intends to seek removal of the opt-out.</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6"/>
              </w:rPr>
              <w:t>Added the state stormwater permit rule as a parallel priority so comments reflect the legislative outcome.</w:t>
            </w:r>
          </w:p>
          <w:p>
            <w:pPr>
              <w:pStyle w:val="IGCell"/>
              <w:spacing w:after="0" w:before="40"/>
            </w:pPr>
            <w:r>
              <w:rPr>
                <w:rFonts w:ascii="Arial" w:hAnsi="Arial" w:cs="Arial" w:eastAsia="Arial"/>
                <w:color w:val="192E43"/>
                <w:sz w:val="16"/>
              </w:rPr>
              <w:t>Decision needed: None.</w:t>
            </w:r>
          </w:p>
        </w:tc>
      </w:tr>
      <w:tr>
        <w:trPr>
          <w:cantSplit w:val="true"/>
        </w:trPr>
        <w:tc>
          <w:tcPr>
            <w:tcW w:type="dxa" w:w="648"/>
            <w:tcMar>
              <w:top w:w="45" w:type="dxa"/>
              <w:left w:w="80" w:type="dxa"/>
              <w:bottom w:w="45" w:type="dxa"/>
              <w:right w:w="60" w:type="dxa"/>
            </w:tcMar>
            <w:vAlign w:val="top"/>
          </w:tcPr>
          <w:p>
            <w:pPr>
              <w:pStyle w:val="IGCell"/>
              <w:spacing w:after="0"/>
            </w:pPr>
            <w:r>
              <w:rPr>
                <w:rFonts w:ascii="Arial" w:hAnsi="Arial" w:cs="Arial" w:eastAsia="Arial"/>
                <w:color w:val="192E43"/>
                <w:sz w:val="16"/>
              </w:rPr>
              <w:t>Q1</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OBJ-3</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6"/>
              </w:rPr>
              <w:t>Go decision made Feb 25. Pre-application meeting held Mar 24. State DOT requires an executed local agreement before it commits match.</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6"/>
              </w:rPr>
              <w:t>Written questions to the regional office are six days late. Harlan County overlap is unaddressed. Notice timing is unconfirmed.</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6"/>
              </w:rPr>
              <w:t>Moved delegation letter request to May 14 to follow Harlan coordination. Added Harlan milestone. Added Board match decision to the Jun 8 calendar.</w:t>
            </w:r>
          </w:p>
          <w:p>
            <w:pPr>
              <w:pStyle w:val="IGCell"/>
              <w:spacing w:after="0" w:before="40"/>
            </w:pPr>
            <w:r>
              <w:rPr>
                <w:rFonts w:ascii="Arial" w:hAnsi="Arial" w:cs="Arial" w:eastAsia="Arial"/>
                <w:color w:val="192E43"/>
                <w:sz w:val="16"/>
              </w:rPr>
              <w:t>Decision needed: County Executive direction on match fallback scenarios by Apr 16.</w:t>
            </w:r>
          </w:p>
        </w:tc>
      </w:tr>
      <w:tr>
        <w:trPr>
          <w:cantSplit w:val="true"/>
        </w:trPr>
        <w:tc>
          <w:tcPr>
            <w:tcW w:type="dxa" w:w="648"/>
            <w:tcMar>
              <w:top w:w="45" w:type="dxa"/>
              <w:left w:w="80" w:type="dxa"/>
              <w:bottom w:w="45" w:type="dxa"/>
              <w:right w:w="60" w:type="dxa"/>
            </w:tcMar>
            <w:vAlign w:val="top"/>
          </w:tcPr>
          <w:p>
            <w:pPr>
              <w:pStyle w:val="IGCell"/>
              <w:spacing w:after="0"/>
            </w:pPr>
            <w:r>
              <w:rPr>
                <w:rFonts w:ascii="Arial" w:hAnsi="Arial" w:cs="Arial" w:eastAsia="Arial"/>
                <w:color w:val="192E43"/>
                <w:sz w:val="16"/>
              </w:rPr>
              <w:t>Q1</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OBJ-4</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6"/>
              </w:rPr>
              <w:t>Three allocation models identified Feb 16. Stalemate escalated Mar 18 and resolved Apr 1 with a negotiating range. County proposal delivered Apr 1.</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6"/>
              </w:rPr>
              <w:t>Term sheet milestone slipped 14 days to May 14.</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6"/>
              </w:rPr>
              <w:t>Revised term sheet date. Kept the Aug 31 execution target because governing body calendars leave two meeting cycles of margin.</w:t>
            </w:r>
          </w:p>
          <w:p>
            <w:pPr>
              <w:pStyle w:val="IGCell"/>
              <w:spacing w:after="0" w:before="40"/>
            </w:pPr>
            <w:r>
              <w:rPr>
                <w:rFonts w:ascii="Arial" w:hAnsi="Arial" w:cs="Arial" w:eastAsia="Arial"/>
                <w:color w:val="192E43"/>
                <w:sz w:val="16"/>
              </w:rPr>
              <w:t>Decision needed: None pending. Riverton response due Apr 15.</w:t>
            </w:r>
          </w:p>
        </w:tc>
      </w:tr>
      <w:tr>
        <w:trPr>
          <w:cantSplit w:val="true"/>
        </w:trPr>
        <w:tc>
          <w:tcPr>
            <w:tcW w:type="dxa" w:w="648"/>
            <w:tcMar>
              <w:top w:w="45" w:type="dxa"/>
              <w:left w:w="80" w:type="dxa"/>
              <w:bottom w:w="45" w:type="dxa"/>
              <w:right w:w="60" w:type="dxa"/>
            </w:tcMar>
            <w:vAlign w:val="top"/>
          </w:tcPr>
          <w:p>
            <w:pPr>
              <w:pStyle w:val="IGCell"/>
              <w:spacing w:after="0"/>
            </w:pPr>
            <w:r>
              <w:rPr>
                <w:rFonts w:ascii="Arial" w:hAnsi="Arial" w:cs="Arial" w:eastAsia="Arial"/>
                <w:color w:val="192E43"/>
                <w:sz w:val="16"/>
              </w:rPr>
              <w:t>Q1</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OBJ-5</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6"/>
              </w:rPr>
              <w:t>Staff introduction held Feb 10. The Nation's staff asked for a written invitation from the County Executive. Letter drafted and cleared Mar 22.</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6"/>
              </w:rPr>
              <w:t>Invitation letter signature is overdue. The May 21 leader-level meeting target requires scheduling lead time that is now shrinking.</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6"/>
              </w:rPr>
              <w:t>Offered an interim staff-level exchange of corridor information through the Cultural Resources Department. Escalated the signature request.</w:t>
            </w:r>
          </w:p>
          <w:p>
            <w:pPr>
              <w:pStyle w:val="IGCell"/>
              <w:spacing w:after="0" w:before="40"/>
            </w:pPr>
            <w:r>
              <w:rPr>
                <w:rFonts w:ascii="Arial" w:hAnsi="Arial" w:cs="Arial" w:eastAsia="Arial"/>
                <w:color w:val="192E43"/>
                <w:sz w:val="16"/>
              </w:rPr>
              <w:t>Decision needed: County Executive signature on the invitation letter by Apr 16.</w:t>
            </w:r>
          </w:p>
        </w:tc>
      </w:tr>
      <w:tr>
        <w:trPr>
          <w:cantSplit w:val="true"/>
        </w:trPr>
        <w:tc>
          <w:tcPr>
            <w:tcW w:type="dxa" w:w="648"/>
            <w:tcMar>
              <w:top w:w="45" w:type="dxa"/>
              <w:left w:w="80" w:type="dxa"/>
              <w:bottom w:w="45" w:type="dxa"/>
              <w:right w:w="60" w:type="dxa"/>
            </w:tcMar>
            <w:vAlign w:val="top"/>
          </w:tcPr>
          <w:p>
            <w:pPr>
              <w:pStyle w:val="IGCell"/>
              <w:spacing w:after="0"/>
            </w:pPr>
            <w:r>
              <w:rPr>
                <w:rFonts w:ascii="Arial" w:hAnsi="Arial" w:cs="Arial" w:eastAsia="Arial"/>
                <w:color w:val="192E43"/>
                <w:sz w:val="16"/>
              </w:rPr>
              <w:t>Q1</w:t>
            </w:r>
          </w:p>
        </w:tc>
        <w:tc>
          <w:tcPr>
            <w:tcW w:type="dxa" w:w="792"/>
            <w:tcMar>
              <w:top w:w="45" w:type="dxa"/>
              <w:left w:w="80" w:type="dxa"/>
              <w:bottom w:w="45" w:type="dxa"/>
              <w:right w:w="60" w:type="dxa"/>
            </w:tcMar>
            <w:vAlign w:val="top"/>
          </w:tcPr>
          <w:p>
            <w:pPr>
              <w:pStyle w:val="IGCell"/>
              <w:spacing w:after="0"/>
            </w:pPr>
            <w:r>
              <w:rPr>
                <w:rFonts w:ascii="Arial" w:hAnsi="Arial" w:cs="Arial" w:eastAsia="Arial"/>
                <w:color w:val="192E43"/>
                <w:sz w:val="16"/>
              </w:rPr>
              <w:t>OBJ-6</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6"/>
              </w:rPr>
              <w:t>Protocol approved Jan 29 (MS-002), one week after the Jan 22 target. Applied to HB 388 on Feb 2. Q1 report in draft for Apr 15.</w:t>
            </w:r>
          </w:p>
        </w:tc>
        <w:tc>
          <w:tcPr>
            <w:tcW w:type="dxa" w:w="2448"/>
            <w:tcMar>
              <w:top w:w="45" w:type="dxa"/>
              <w:left w:w="80" w:type="dxa"/>
              <w:bottom w:w="45" w:type="dxa"/>
              <w:right w:w="60" w:type="dxa"/>
            </w:tcMar>
            <w:vAlign w:val="top"/>
          </w:tcPr>
          <w:p>
            <w:pPr>
              <w:pStyle w:val="IGCell"/>
              <w:spacing w:after="0"/>
            </w:pPr>
            <w:r>
              <w:rPr>
                <w:rFonts w:ascii="Arial" w:hAnsi="Arial" w:cs="Arial" w:eastAsia="Arial"/>
                <w:color w:val="192E43"/>
                <w:sz w:val="16"/>
              </w:rPr>
              <w:t>MS-002 was completed one week late while County Attorney comments were finalized. One later milestone (MS-016) slipped four days as a result. The objective stays On Track because cleared positions and the reporting schedule were not affected.</w:t>
            </w:r>
          </w:p>
        </w:tc>
        <w:tc>
          <w:tcPr>
            <w:tcW w:type="dxa" w:w="2880"/>
            <w:tcMar>
              <w:top w:w="45" w:type="dxa"/>
              <w:left w:w="80" w:type="dxa"/>
              <w:bottom w:w="45" w:type="dxa"/>
              <w:right w:w="60" w:type="dxa"/>
            </w:tcMar>
            <w:vAlign w:val="top"/>
          </w:tcPr>
          <w:p>
            <w:pPr>
              <w:pStyle w:val="IGCell"/>
              <w:spacing w:after="0"/>
            </w:pPr>
            <w:r>
              <w:rPr>
                <w:rFonts w:ascii="Arial" w:hAnsi="Arial" w:cs="Arial" w:eastAsia="Arial"/>
                <w:color w:val="192E43"/>
                <w:sz w:val="16"/>
              </w:rPr>
              <w:t>None.</w:t>
            </w:r>
          </w:p>
          <w:p>
            <w:pPr>
              <w:pStyle w:val="IGCell"/>
              <w:spacing w:after="0" w:before="40"/>
            </w:pPr>
            <w:r>
              <w:rPr>
                <w:rFonts w:ascii="Arial" w:hAnsi="Arial" w:cs="Arial" w:eastAsia="Arial"/>
                <w:color w:val="192E43"/>
                <w:sz w:val="16"/>
              </w:rPr>
              <w:t>Decision needed: None.</w:t>
            </w:r>
          </w:p>
        </w:tc>
      </w:tr>
    </w:tbl>
    <w:p>
      <w:pPr>
        <w:spacing w:after="80" w:line="144" w:lineRule="auto"/>
      </w:pPr>
    </w:p>
    <w:p>
      <w:pPr>
        <w:pStyle w:val="Heading2"/>
      </w:pPr>
      <w:r>
        <w:t>12.4 Adjustment log</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296"/>
        <w:gridCol w:w="3456"/>
        <w:gridCol w:w="2592"/>
        <w:gridCol w:w="1440"/>
        <w:gridCol w:w="864"/>
      </w:tblGrid>
      <w:tr>
        <w:trPr>
          <w:tblHeader w:val="true"/>
          <w:cantSplit w:val="true"/>
        </w:trPr>
        <w:tc>
          <w:tcPr>
            <w:tcW w:type="dxa" w:w="129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Date</w:t>
            </w:r>
          </w:p>
        </w:tc>
        <w:tc>
          <w:tcPr>
            <w:tcW w:type="dxa" w:w="345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Change to the plan</w:t>
            </w:r>
          </w:p>
        </w:tc>
        <w:tc>
          <w:tcPr>
            <w:tcW w:type="dxa" w:w="259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Reason</w:t>
            </w:r>
          </w:p>
        </w:tc>
        <w:tc>
          <w:tcPr>
            <w:tcW w:type="dxa" w:w="144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Approved by</w:t>
            </w:r>
          </w:p>
        </w:tc>
        <w:tc>
          <w:tcPr>
            <w:tcW w:type="dxa" w:w="86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In tracker</w:t>
            </w:r>
          </w:p>
        </w:tc>
      </w:tr>
      <w:tr>
        <w:trPr>
          <w:cantSplit w:val="true"/>
        </w:trPr>
        <w:tc>
          <w:tcPr>
            <w:tcW w:type="dxa" w:w="1296"/>
            <w:tcMar>
              <w:top w:w="45" w:type="dxa"/>
              <w:left w:w="80" w:type="dxa"/>
              <w:bottom w:w="45" w:type="dxa"/>
              <w:right w:w="60" w:type="dxa"/>
            </w:tcMar>
            <w:vAlign w:val="top"/>
          </w:tcPr>
          <w:p>
            <w:pPr>
              <w:pStyle w:val="IGCell"/>
              <w:keepNext/>
              <w:spacing w:after="0"/>
            </w:pPr>
            <w:r>
              <w:rPr>
                <w:rFonts w:ascii="Arial" w:hAnsi="Arial" w:cs="Arial" w:eastAsia="Arial"/>
                <w:color w:val="192E43"/>
                <w:sz w:val="17"/>
              </w:rPr>
              <w:t>Mar 5, 2027</w:t>
            </w:r>
          </w:p>
        </w:tc>
        <w:tc>
          <w:tcPr>
            <w:tcW w:type="dxa" w:w="3456"/>
            <w:tcMar>
              <w:top w:w="45" w:type="dxa"/>
              <w:left w:w="80" w:type="dxa"/>
              <w:bottom w:w="45" w:type="dxa"/>
              <w:right w:w="60" w:type="dxa"/>
            </w:tcMar>
            <w:vAlign w:val="top"/>
          </w:tcPr>
          <w:p>
            <w:pPr>
              <w:pStyle w:val="IGCell"/>
              <w:keepNext/>
              <w:spacing w:after="0"/>
            </w:pPr>
            <w:r>
              <w:rPr>
                <w:rFonts w:ascii="Arial" w:hAnsi="Arial" w:cs="Arial" w:eastAsia="Arial"/>
                <w:color w:val="192E43"/>
                <w:sz w:val="17"/>
              </w:rPr>
              <w:t>Moved MS-018 (opt-out amendment in House committee) from Feb 26 to Mar 5.</w:t>
            </w:r>
          </w:p>
        </w:tc>
        <w:tc>
          <w:tcPr>
            <w:tcW w:type="dxa" w:w="2592"/>
            <w:tcMar>
              <w:top w:w="45" w:type="dxa"/>
              <w:left w:w="80" w:type="dxa"/>
              <w:bottom w:w="45" w:type="dxa"/>
              <w:right w:w="60" w:type="dxa"/>
            </w:tcMar>
            <w:vAlign w:val="top"/>
          </w:tcPr>
          <w:p>
            <w:pPr>
              <w:pStyle w:val="IGCell"/>
              <w:keepNext/>
              <w:spacing w:after="0"/>
            </w:pPr>
            <w:r>
              <w:rPr>
                <w:rFonts w:ascii="Arial" w:hAnsi="Arial" w:cs="Arial" w:eastAsia="Arial"/>
                <w:color w:val="192E43"/>
                <w:sz w:val="17"/>
              </w:rPr>
              <w:t>Committee moved the markup one week.</w:t>
            </w:r>
          </w:p>
        </w:tc>
        <w:tc>
          <w:tcPr>
            <w:tcW w:type="dxa" w:w="1440"/>
            <w:tcMar>
              <w:top w:w="45" w:type="dxa"/>
              <w:left w:w="80" w:type="dxa"/>
              <w:bottom w:w="45" w:type="dxa"/>
              <w:right w:w="60" w:type="dxa"/>
            </w:tcMar>
            <w:vAlign w:val="top"/>
          </w:tcPr>
          <w:p>
            <w:pPr>
              <w:pStyle w:val="IGCell"/>
              <w:keepNext/>
              <w:spacing w:after="0"/>
            </w:pPr>
            <w:r>
              <w:rPr>
                <w:rFonts w:ascii="Arial" w:hAnsi="Arial" w:cs="Arial" w:eastAsia="Arial"/>
                <w:color w:val="192E43"/>
                <w:sz w:val="17"/>
              </w:rPr>
              <w:t>Elena Marsh</w:t>
            </w:r>
          </w:p>
        </w:tc>
        <w:tc>
          <w:tcPr>
            <w:tcW w:type="dxa" w:w="864"/>
            <w:tcMar>
              <w:top w:w="45" w:type="dxa"/>
              <w:left w:w="80" w:type="dxa"/>
              <w:bottom w:w="45" w:type="dxa"/>
              <w:right w:w="60" w:type="dxa"/>
            </w:tcMar>
            <w:vAlign w:val="top"/>
          </w:tcPr>
          <w:p>
            <w:pPr>
              <w:pStyle w:val="IGCell"/>
              <w:keepNext/>
              <w:spacing w:after="0"/>
            </w:pPr>
            <w:r>
              <w:rPr>
                <w:rFonts w:ascii="Arial" w:hAnsi="Arial" w:cs="Arial" w:eastAsia="Arial"/>
                <w:color w:val="192E43"/>
                <w:sz w:val="17"/>
              </w:rPr>
              <w:t>Yes</w:t>
            </w:r>
          </w:p>
        </w:tc>
      </w:tr>
      <w:tr>
        <w:trPr>
          <w:cantSplit w:val="true"/>
        </w:trPr>
        <w:tc>
          <w:tcPr>
            <w:tcW w:type="dxa" w:w="1296"/>
            <w:tcMar>
              <w:top w:w="45" w:type="dxa"/>
              <w:left w:w="80" w:type="dxa"/>
              <w:bottom w:w="45" w:type="dxa"/>
              <w:right w:w="60" w:type="dxa"/>
            </w:tcMar>
            <w:vAlign w:val="top"/>
          </w:tcPr>
          <w:p>
            <w:pPr>
              <w:pStyle w:val="IGCell"/>
              <w:keepNext/>
              <w:spacing w:after="0"/>
            </w:pPr>
            <w:r>
              <w:rPr>
                <w:rFonts w:ascii="Arial" w:hAnsi="Arial" w:cs="Arial" w:eastAsia="Arial"/>
                <w:color w:val="192E43"/>
                <w:sz w:val="17"/>
              </w:rPr>
              <w:t>Apr 6, 2027</w:t>
            </w:r>
          </w:p>
        </w:tc>
        <w:tc>
          <w:tcPr>
            <w:tcW w:type="dxa" w:w="3456"/>
            <w:tcMar>
              <w:top w:w="45" w:type="dxa"/>
              <w:left w:w="80" w:type="dxa"/>
              <w:bottom w:w="45" w:type="dxa"/>
              <w:right w:w="60" w:type="dxa"/>
            </w:tcMar>
            <w:vAlign w:val="top"/>
          </w:tcPr>
          <w:p>
            <w:pPr>
              <w:pStyle w:val="IGCell"/>
              <w:keepNext/>
              <w:spacing w:after="0"/>
            </w:pPr>
            <w:r>
              <w:rPr>
                <w:rFonts w:ascii="Arial" w:hAnsi="Arial" w:cs="Arial" w:eastAsia="Arial"/>
                <w:color w:val="192E43"/>
                <w:sz w:val="17"/>
              </w:rPr>
              <w:t>Added HB 530 as a tracked priority (LEG-03).</w:t>
            </w:r>
          </w:p>
        </w:tc>
        <w:tc>
          <w:tcPr>
            <w:tcW w:type="dxa" w:w="2592"/>
            <w:tcMar>
              <w:top w:w="45" w:type="dxa"/>
              <w:left w:w="80" w:type="dxa"/>
              <w:bottom w:w="45" w:type="dxa"/>
              <w:right w:w="60" w:type="dxa"/>
            </w:tcMar>
            <w:vAlign w:val="top"/>
          </w:tcPr>
          <w:p>
            <w:pPr>
              <w:pStyle w:val="IGCell"/>
              <w:keepNext/>
              <w:spacing w:after="0"/>
            </w:pPr>
            <w:r>
              <w:rPr>
                <w:rFonts w:ascii="Arial" w:hAnsi="Arial" w:cs="Arial" w:eastAsia="Arial"/>
                <w:color w:val="192E43"/>
                <w:sz w:val="17"/>
              </w:rPr>
              <w:t>New exposure to state road funds identified at Q1 review.</w:t>
            </w:r>
          </w:p>
        </w:tc>
        <w:tc>
          <w:tcPr>
            <w:tcW w:type="dxa" w:w="1440"/>
            <w:tcMar>
              <w:top w:w="45" w:type="dxa"/>
              <w:left w:w="80" w:type="dxa"/>
              <w:bottom w:w="45" w:type="dxa"/>
              <w:right w:w="60" w:type="dxa"/>
            </w:tcMar>
            <w:vAlign w:val="top"/>
          </w:tcPr>
          <w:p>
            <w:pPr>
              <w:pStyle w:val="IGCell"/>
              <w:keepNext/>
              <w:spacing w:after="0"/>
            </w:pPr>
            <w:r>
              <w:rPr>
                <w:rFonts w:ascii="Arial" w:hAnsi="Arial" w:cs="Arial" w:eastAsia="Arial"/>
                <w:color w:val="192E43"/>
                <w:sz w:val="17"/>
              </w:rPr>
              <w:t>Priya Raman</w:t>
            </w:r>
          </w:p>
        </w:tc>
        <w:tc>
          <w:tcPr>
            <w:tcW w:type="dxa" w:w="864"/>
            <w:tcMar>
              <w:top w:w="45" w:type="dxa"/>
              <w:left w:w="80" w:type="dxa"/>
              <w:bottom w:w="45" w:type="dxa"/>
              <w:right w:w="60" w:type="dxa"/>
            </w:tcMar>
            <w:vAlign w:val="top"/>
          </w:tcPr>
          <w:p>
            <w:pPr>
              <w:pStyle w:val="IGCell"/>
              <w:keepNext/>
              <w:spacing w:after="0"/>
            </w:pPr>
            <w:r>
              <w:rPr>
                <w:rFonts w:ascii="Arial" w:hAnsi="Arial" w:cs="Arial" w:eastAsia="Arial"/>
                <w:color w:val="192E43"/>
                <w:sz w:val="17"/>
              </w:rPr>
              <w:t>Yes</w:t>
            </w:r>
          </w:p>
        </w:tc>
      </w:tr>
      <w:tr>
        <w:trPr>
          <w:cantSplit w:val="true"/>
        </w:trPr>
        <w:tc>
          <w:tcPr>
            <w:tcW w:type="dxa" w:w="1296"/>
            <w:tcMar>
              <w:top w:w="45" w:type="dxa"/>
              <w:left w:w="80" w:type="dxa"/>
              <w:bottom w:w="45" w:type="dxa"/>
              <w:right w:w="60" w:type="dxa"/>
            </w:tcMar>
            <w:vAlign w:val="top"/>
          </w:tcPr>
          <w:p>
            <w:pPr>
              <w:pStyle w:val="IGCell"/>
              <w:keepNext/>
              <w:spacing w:after="0"/>
            </w:pPr>
            <w:r>
              <w:rPr>
                <w:rFonts w:ascii="Arial" w:hAnsi="Arial" w:cs="Arial" w:eastAsia="Arial"/>
                <w:color w:val="192E43"/>
                <w:sz w:val="17"/>
              </w:rPr>
              <w:t>Apr 6, 2027</w:t>
            </w:r>
          </w:p>
        </w:tc>
        <w:tc>
          <w:tcPr>
            <w:tcW w:type="dxa" w:w="3456"/>
            <w:tcMar>
              <w:top w:w="45" w:type="dxa"/>
              <w:left w:w="80" w:type="dxa"/>
              <w:bottom w:w="45" w:type="dxa"/>
              <w:right w:w="60" w:type="dxa"/>
            </w:tcMar>
            <w:vAlign w:val="top"/>
          </w:tcPr>
          <w:p>
            <w:pPr>
              <w:pStyle w:val="IGCell"/>
              <w:keepNext/>
              <w:spacing w:after="0"/>
            </w:pPr>
            <w:r>
              <w:rPr>
                <w:rFonts w:ascii="Arial" w:hAnsi="Arial" w:cs="Arial" w:eastAsia="Arial"/>
                <w:color w:val="192E43"/>
                <w:sz w:val="17"/>
              </w:rPr>
              <w:t>Moved MS-027 (term sheet) from Apr 30 to May 14. Kept MS-030 (execution) at Aug 31.</w:t>
            </w:r>
          </w:p>
        </w:tc>
        <w:tc>
          <w:tcPr>
            <w:tcW w:type="dxa" w:w="2592"/>
            <w:tcMar>
              <w:top w:w="45" w:type="dxa"/>
              <w:left w:w="80" w:type="dxa"/>
              <w:bottom w:w="45" w:type="dxa"/>
              <w:right w:w="60" w:type="dxa"/>
            </w:tcMar>
            <w:vAlign w:val="top"/>
          </w:tcPr>
          <w:p>
            <w:pPr>
              <w:pStyle w:val="IGCell"/>
              <w:keepNext/>
              <w:spacing w:after="0"/>
            </w:pPr>
            <w:r>
              <w:rPr>
                <w:rFonts w:ascii="Arial" w:hAnsi="Arial" w:cs="Arial" w:eastAsia="Arial"/>
                <w:color w:val="192E43"/>
                <w:sz w:val="17"/>
              </w:rPr>
              <w:t>Allocation stalemate cost two weeks. Governing body calendars leave two cycles of margin.</w:t>
            </w:r>
          </w:p>
        </w:tc>
        <w:tc>
          <w:tcPr>
            <w:tcW w:type="dxa" w:w="1440"/>
            <w:tcMar>
              <w:top w:w="45" w:type="dxa"/>
              <w:left w:w="80" w:type="dxa"/>
              <w:bottom w:w="45" w:type="dxa"/>
              <w:right w:w="60" w:type="dxa"/>
            </w:tcMar>
            <w:vAlign w:val="top"/>
          </w:tcPr>
          <w:p>
            <w:pPr>
              <w:pStyle w:val="IGCell"/>
              <w:keepNext/>
              <w:spacing w:after="0"/>
            </w:pPr>
            <w:r>
              <w:rPr>
                <w:rFonts w:ascii="Arial" w:hAnsi="Arial" w:cs="Arial" w:eastAsia="Arial"/>
                <w:color w:val="192E43"/>
                <w:sz w:val="17"/>
              </w:rPr>
              <w:t>Priya Raman</w:t>
            </w:r>
          </w:p>
        </w:tc>
        <w:tc>
          <w:tcPr>
            <w:tcW w:type="dxa" w:w="864"/>
            <w:tcMar>
              <w:top w:w="45" w:type="dxa"/>
              <w:left w:w="80" w:type="dxa"/>
              <w:bottom w:w="45" w:type="dxa"/>
              <w:right w:w="60" w:type="dxa"/>
            </w:tcMar>
            <w:vAlign w:val="top"/>
          </w:tcPr>
          <w:p>
            <w:pPr>
              <w:pStyle w:val="IGCell"/>
              <w:keepNext/>
              <w:spacing w:after="0"/>
            </w:pPr>
            <w:r>
              <w:rPr>
                <w:rFonts w:ascii="Arial" w:hAnsi="Arial" w:cs="Arial" w:eastAsia="Arial"/>
                <w:color w:val="192E43"/>
                <w:sz w:val="17"/>
              </w:rPr>
              <w:t>Yes</w:t>
            </w:r>
          </w:p>
        </w:tc>
      </w:tr>
      <w:tr>
        <w:trPr>
          <w:cantSplit w:val="true"/>
        </w:trPr>
        <w:tc>
          <w:tcPr>
            <w:tcW w:type="dxa" w:w="1296"/>
            <w:tcMar>
              <w:top w:w="45" w:type="dxa"/>
              <w:left w:w="80" w:type="dxa"/>
              <w:bottom w:w="45" w:type="dxa"/>
              <w:right w:w="60" w:type="dxa"/>
            </w:tcMar>
            <w:vAlign w:val="top"/>
          </w:tcPr>
          <w:p>
            <w:pPr>
              <w:pStyle w:val="IGCell"/>
              <w:spacing w:after="0"/>
            </w:pPr>
            <w:r>
              <w:rPr>
                <w:rFonts w:ascii="Arial" w:hAnsi="Arial" w:cs="Arial" w:eastAsia="Arial"/>
                <w:color w:val="192E43"/>
                <w:sz w:val="17"/>
              </w:rPr>
              <w:t>Apr 6, 2027</w:t>
            </w:r>
          </w:p>
        </w:tc>
        <w:tc>
          <w:tcPr>
            <w:tcW w:type="dxa" w:w="3456"/>
            <w:tcMar>
              <w:top w:w="45" w:type="dxa"/>
              <w:left w:w="80" w:type="dxa"/>
              <w:bottom w:w="45" w:type="dxa"/>
              <w:right w:w="60" w:type="dxa"/>
            </w:tcMar>
            <w:vAlign w:val="top"/>
          </w:tcPr>
          <w:p>
            <w:pPr>
              <w:pStyle w:val="IGCell"/>
              <w:spacing w:after="0"/>
            </w:pPr>
            <w:r>
              <w:rPr>
                <w:rFonts w:ascii="Arial" w:hAnsi="Arial" w:cs="Arial" w:eastAsia="Arial"/>
                <w:color w:val="192E43"/>
                <w:sz w:val="17"/>
              </w:rPr>
              <w:t>Added Harlan overlap milestone (MS-023) and Board match decision (MS-015) under OBJ-3.</w:t>
            </w:r>
          </w:p>
        </w:tc>
        <w:tc>
          <w:tcPr>
            <w:tcW w:type="dxa" w:w="2592"/>
            <w:tcMar>
              <w:top w:w="45" w:type="dxa"/>
              <w:left w:w="80" w:type="dxa"/>
              <w:bottom w:w="45" w:type="dxa"/>
              <w:right w:w="60" w:type="dxa"/>
            </w:tcMar>
            <w:vAlign w:val="top"/>
          </w:tcPr>
          <w:p>
            <w:pPr>
              <w:pStyle w:val="IGCell"/>
              <w:spacing w:after="0"/>
            </w:pPr>
            <w:r>
              <w:rPr>
                <w:rFonts w:ascii="Arial" w:hAnsi="Arial" w:cs="Arial" w:eastAsia="Arial"/>
                <w:color w:val="192E43"/>
                <w:sz w:val="17"/>
              </w:rPr>
              <w:t>Overlap and match source are now critical dependencies.</w:t>
            </w:r>
          </w:p>
        </w:tc>
        <w:tc>
          <w:tcPr>
            <w:tcW w:type="dxa" w:w="1440"/>
            <w:tcMar>
              <w:top w:w="45" w:type="dxa"/>
              <w:left w:w="80" w:type="dxa"/>
              <w:bottom w:w="45" w:type="dxa"/>
              <w:right w:w="60" w:type="dxa"/>
            </w:tcMar>
            <w:vAlign w:val="top"/>
          </w:tcPr>
          <w:p>
            <w:pPr>
              <w:pStyle w:val="IGCell"/>
              <w:spacing w:after="0"/>
            </w:pPr>
            <w:r>
              <w:rPr>
                <w:rFonts w:ascii="Arial" w:hAnsi="Arial" w:cs="Arial" w:eastAsia="Arial"/>
                <w:color w:val="192E43"/>
                <w:sz w:val="17"/>
              </w:rPr>
              <w:t>Priya Raman</w:t>
            </w:r>
          </w:p>
        </w:tc>
        <w:tc>
          <w:tcPr>
            <w:tcW w:type="dxa" w:w="864"/>
            <w:tcMar>
              <w:top w:w="45" w:type="dxa"/>
              <w:left w:w="80" w:type="dxa"/>
              <w:bottom w:w="45" w:type="dxa"/>
              <w:right w:w="60" w:type="dxa"/>
            </w:tcMar>
            <w:vAlign w:val="top"/>
          </w:tcPr>
          <w:p>
            <w:pPr>
              <w:pStyle w:val="IGCell"/>
              <w:spacing w:after="0"/>
            </w:pPr>
            <w:r>
              <w:rPr>
                <w:rFonts w:ascii="Arial" w:hAnsi="Arial" w:cs="Arial" w:eastAsia="Arial"/>
                <w:color w:val="192E43"/>
                <w:sz w:val="17"/>
              </w:rPr>
              <w:t>Yes</w:t>
            </w:r>
          </w:p>
        </w:tc>
      </w:tr>
    </w:tbl>
    <w:sectPr w:rsidR="00FC693F" w:rsidRPr="0006063C" w:rsidSect="00034616">
      <w:headerReference w:type="default" r:id="rId10"/>
      <w:footerReference w:type="default" r:id="rId11"/>
      <w:headerReference w:type="first" r:id="rId12"/>
      <w:footerReference w:type="first" r:id="rId13"/>
      <w:pgSz w:w="12240" w:h="15840"/>
      <w:pgMar w:top="1368" w:right="1296" w:bottom="1224" w:left="1296" w:header="576" w:footer="57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5DAE0"/>
      </w:pBdr>
      <w:tabs>
        <w:tab w:pos="9648" w:val="right"/>
      </w:tabs>
    </w:pPr>
    <w:r>
      <w:rPr>
        <w:rFonts w:ascii="Arial" w:hAnsi="Arial" w:cs="Arial" w:eastAsia="Arial"/>
        <w:color w:val="52606D"/>
        <w:sz w:val="16"/>
      </w:rPr>
      <w:t>Intergov Association | Professional Resource Library</w:t>
      <w:tab/>
      <w:t xml:space="preserve">Page </w:t>
    </w:r>
    <w:r>
      <w:rPr>
        <w:rFonts w:ascii="Arial" w:hAnsi="Arial" w:cs="Arial" w:eastAsia="Arial"/>
        <w:color w:val="52606D"/>
        <w:sz w:val="16"/>
      </w:rPr>
      <w:fldChar w:fldCharType="begin"/>
      <w:instrText xml:space="preserve"> PAGE </w:instrText>
      <w:fldChar w:fldCharType="separate"/>
      <w:t>1</w:t>
      <w:fldChar w:fldCharType="end"/>
    </w:r>
    <w:r>
      <w:rPr>
        <w:rFonts w:ascii="Arial" w:hAnsi="Arial" w:cs="Arial" w:eastAsia="Arial"/>
        <w:color w:val="52606D"/>
        <w:sz w:val="16"/>
      </w:rPr>
      <w:t xml:space="preserve"> of </w:t>
    </w:r>
    <w:r>
      <w:rPr>
        <w:rFonts w:ascii="Arial" w:hAnsi="Arial" w:cs="Arial" w:eastAsia="Arial"/>
        <w:color w:val="52606D"/>
        <w:sz w:val="16"/>
      </w:rPr>
      <w:fldChar w:fldCharType="begin"/>
      <w:instrText xml:space="preserve"> NUMPAGES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D5DAE0"/>
      </w:pBdr>
      <w:tabs>
        <w:tab w:pos="9648" w:val="right"/>
      </w:tabs>
      <w:spacing w:after="0"/>
    </w:pPr>
    <w:r>
      <w:drawing>
        <wp:inline xmlns:a="http://schemas.openxmlformats.org/drawingml/2006/main" xmlns:pic="http://schemas.openxmlformats.org/drawingml/2006/picture">
          <wp:extent cx="1051560" cy="303152"/>
          <wp:docPr id="1" name="Picture 1"/>
          <wp:cNvGraphicFramePr>
            <a:graphicFrameLocks noChangeAspect="1"/>
          </wp:cNvGraphicFramePr>
          <a:graphic>
            <a:graphicData uri="http://schemas.openxmlformats.org/drawingml/2006/picture">
              <pic:pic>
                <pic:nvPicPr>
                  <pic:cNvPr id="0" name="logo_core.png"/>
                  <pic:cNvPicPr/>
                </pic:nvPicPr>
                <pic:blipFill>
                  <a:blip r:embed="rId1"/>
                  <a:stretch>
                    <a:fillRect/>
                  </a:stretch>
                </pic:blipFill>
                <pic:spPr>
                  <a:xfrm>
                    <a:off x="0" y="0"/>
                    <a:ext cx="1051560" cy="303152"/>
                  </a:xfrm>
                  <a:prstGeom prst="rect"/>
                </pic:spPr>
              </pic:pic>
            </a:graphicData>
          </a:graphic>
        </wp:inline>
      </w:drawing>
    </w:r>
    <w:r>
      <w:rPr>
        <w:rFonts w:ascii="Arial" w:hAnsi="Arial" w:cs="Arial" w:eastAsia="Arial"/>
        <w:b/>
        <w:color w:val="A93632"/>
        <w:sz w:val="16"/>
      </w:rPr>
      <w:tab/>
      <w:t>FICTIONAL EXAMPLE  |  Eastbrook County Strategic Plan, 2027</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69" w:lineRule="auto"/>
    </w:pPr>
    <w:rPr>
      <w:rFonts w:ascii="Arial" w:hAnsi="Arial" w:cs="Arial" w:eastAsia="Arial"/>
      <w:b w:val="0"/>
      <w:i w:val="0"/>
      <w:color w:val="192E43"/>
      <w:sz w:val="20"/>
    </w:rPr>
  </w:style>
  <w:style w:type="paragraph" w:styleId="Header">
    <w:name w:val="header"/>
    <w:basedOn w:val="Normal"/>
    <w:link w:val="HeaderChar"/>
    <w:uiPriority w:val="99"/>
    <w:unhideWhenUsed/>
    <w:rsid w:val="00E618BF"/>
    <w:pPr>
      <w:spacing w:after="0" w:line="240" w:lineRule="auto"/>
    </w:pPr>
    <w:rPr>
      <w:rFonts w:ascii="Arial" w:hAnsi="Arial" w:cs="Arial" w:eastAsia="Arial"/>
      <w:b w:val="0"/>
      <w:i w:val="0"/>
      <w:color w:val="52606D"/>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b w:val="0"/>
      <w:i w:val="0"/>
      <w:color w:val="52606D"/>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space="3" w:color="192E43"/>
      </w:pBdr>
      <w:spacing w:before="360" w:after="120" w:line="240" w:lineRule="auto"/>
      <w:outlineLvl w:val="0"/>
    </w:pPr>
    <w:rPr>
      <w:rFonts w:ascii="Arial" w:hAnsi="Arial" w:cs="Arial" w:eastAsia="Arial"/>
      <w:b/>
      <w:bCs/>
      <w:i w:val="0"/>
      <w:color w:val="192E43"/>
      <w:sz w:val="30"/>
      <w:szCs w:val="28"/>
    </w:rPr>
  </w:style>
  <w:style w:type="paragraph" w:styleId="Heading2">
    <w:name w:val="heading 2"/>
    <w:basedOn w:val="Normal"/>
    <w:next w:val="Normal"/>
    <w:link w:val="Heading2Char"/>
    <w:uiPriority w:val="9"/>
    <w:unhideWhenUsed/>
    <w:qFormat/>
    <w:rsid w:val="00FC693F"/>
    <w:pPr>
      <w:keepNext/>
      <w:keepLines/>
      <w:spacing w:before="240" w:after="80" w:line="240" w:lineRule="auto"/>
      <w:outlineLvl w:val="1"/>
    </w:pPr>
    <w:rPr>
      <w:rFonts w:ascii="Arial" w:hAnsi="Arial" w:cs="Arial" w:eastAsia="Arial"/>
      <w:b/>
      <w:bCs/>
      <w:i w:val="0"/>
      <w:color w:val="192E43"/>
      <w:sz w:val="23"/>
      <w:szCs w:val="26"/>
    </w:rPr>
  </w:style>
  <w:style w:type="paragraph" w:styleId="Heading3">
    <w:name w:val="heading 3"/>
    <w:basedOn w:val="Normal"/>
    <w:next w:val="Normal"/>
    <w:link w:val="Heading3Char"/>
    <w:uiPriority w:val="9"/>
    <w:unhideWhenUsed/>
    <w:qFormat/>
    <w:rsid w:val="00FC693F"/>
    <w:pPr>
      <w:keepNext/>
      <w:keepLines/>
      <w:spacing w:before="160" w:after="60" w:line="240" w:lineRule="auto"/>
      <w:outlineLvl w:val="2"/>
    </w:pPr>
    <w:rPr>
      <w:rFonts w:ascii="Arial" w:hAnsi="Arial" w:cs="Arial" w:eastAsia="Arial"/>
      <w:b/>
      <w:bCs/>
      <w:i w:val="0"/>
      <w:color w:val="52606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cs="Arial" w:eastAsia="Arial"/>
      <w:b w:val="0"/>
      <w:i w:val="0"/>
      <w:color w:val="192E43"/>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GPurpose">
    <w:name w:val="IG Purpose"/>
    <w:basedOn w:val="Normal"/>
    <w:pPr>
      <w:spacing w:after="120" w:line="252" w:lineRule="auto"/>
    </w:pPr>
    <w:rPr>
      <w:rFonts w:ascii="Arial" w:hAnsi="Arial" w:cs="Arial" w:eastAsia="Arial"/>
      <w:b w:val="0"/>
      <w:i w:val="0"/>
      <w:color w:val="52606D"/>
      <w:sz w:val="20"/>
    </w:rPr>
  </w:style>
  <w:style w:type="paragraph" w:customStyle="1" w:styleId="IGSmall">
    <w:name w:val="IG Small"/>
    <w:basedOn w:val="Normal"/>
    <w:pPr>
      <w:spacing w:after="120" w:line="252" w:lineRule="auto"/>
    </w:pPr>
    <w:rPr>
      <w:rFonts w:ascii="Arial" w:hAnsi="Arial" w:cs="Arial" w:eastAsia="Arial"/>
      <w:b w:val="0"/>
      <w:i w:val="0"/>
      <w:color w:val="52606D"/>
      <w:sz w:val="17"/>
    </w:rPr>
  </w:style>
  <w:style w:type="paragraph" w:customStyle="1" w:styleId="IGCell">
    <w:name w:val="IG Cell"/>
    <w:basedOn w:val="Normal"/>
    <w:pPr>
      <w:spacing w:after="40" w:line="252" w:lineRule="auto"/>
    </w:pPr>
    <w:rPr>
      <w:rFonts w:ascii="Arial" w:hAnsi="Arial" w:cs="Arial" w:eastAsia="Arial"/>
      <w:b w:val="0"/>
      <w:i w:val="0"/>
      <w:color w:val="192E43"/>
      <w:sz w:val="18"/>
    </w:rPr>
  </w:style>
  <w:style w:type="paragraph" w:customStyle="1" w:styleId="IGCellHead">
    <w:name w:val="IG Cell Head"/>
    <w:basedOn w:val="Normal"/>
    <w:pPr>
      <w:spacing w:after="40" w:line="252" w:lineRule="auto"/>
    </w:pPr>
    <w:rPr>
      <w:rFonts w:ascii="Arial" w:hAnsi="Arial" w:cs="Arial" w:eastAsia="Arial"/>
      <w:b/>
      <w:i w:val="0"/>
      <w:color w:val="FFFFFF"/>
      <w:sz w:val="17"/>
    </w:rPr>
  </w:style>
  <w:style w:type="paragraph" w:customStyle="1" w:styleId="IGLabel">
    <w:name w:val="IG Label"/>
    <w:basedOn w:val="Normal"/>
    <w:pPr>
      <w:spacing w:after="40" w:line="252" w:lineRule="auto"/>
    </w:pPr>
    <w:rPr>
      <w:rFonts w:ascii="Arial" w:hAnsi="Arial" w:cs="Arial" w:eastAsia="Arial"/>
      <w:b/>
      <w:i w:val="0"/>
      <w:color w:val="192E43"/>
      <w:sz w:val="17"/>
    </w:rPr>
  </w:style>
  <w:style w:type="character" w:customStyle="1" w:styleId="PlaceholderText">
    <w:name w:val="Placeholder Text"/>
    <w:rPr>
      <w:i/>
      <w:color w:val="6B778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Eastbrook County Strategic Plan 2027 (Completed Example)</dc:title>
  <dc:subject>Intergov Association Resource Library</dc:subject>
  <dc:creator>Intergov Association</dc:creator>
  <cp:keywords/>
  <dc:description>Version 1.0, October 2026</dc:description>
  <cp:lastModifiedBy/>
  <cp:revision>1</cp:revision>
  <dcterms:created xsi:type="dcterms:W3CDTF">2013-12-23T23:15:00Z</dcterms:created>
  <dcterms:modified xsi:type="dcterms:W3CDTF">2013-12-23T23:15:00Z</dcterms:modified>
  <cp:category/>
</cp:coreProperties>
</file>