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3108960" cy="1176363"/>
            <wp:docPr id="1" name="Picture 1"/>
            <wp:cNvGraphicFramePr>
              <a:graphicFrameLocks noChangeAspect="1"/>
            </wp:cNvGraphicFramePr>
            <a:graphic>
              <a:graphicData uri="http://schemas.openxmlformats.org/drawingml/2006/picture">
                <pic:pic>
                  <pic:nvPicPr>
                    <pic:cNvPr id="0" name="logo_full.png"/>
                    <pic:cNvPicPr/>
                  </pic:nvPicPr>
                  <pic:blipFill>
                    <a:blip r:embed="rId9"/>
                    <a:stretch>
                      <a:fillRect/>
                    </a:stretch>
                  </pic:blipFill>
                  <pic:spPr>
                    <a:xfrm>
                      <a:off x="0" y="0"/>
                      <a:ext cx="3108960" cy="1176363"/>
                    </a:xfrm>
                    <a:prstGeom prst="rect"/>
                  </pic:spPr>
                </pic:pic>
              </a:graphicData>
            </a:graphic>
          </wp:inline>
        </w:drawing>
      </w:r>
    </w:p>
    <w:p>
      <w:pPr>
        <w:spacing w:before="2000" w:after="0"/>
      </w:pPr>
    </w:p>
    <w:p>
      <w:pPr>
        <w:spacing w:after="200"/>
      </w:pPr>
      <w:r>
        <w:rPr>
          <w:rFonts w:ascii="Arial" w:hAnsi="Arial" w:cs="Arial" w:eastAsia="Arial"/>
          <w:b/>
          <w:color w:val="A93632"/>
          <w:sz w:val="20"/>
        </w:rPr>
        <w:t>PRACTITIONER GUIDE</w:t>
      </w:r>
    </w:p>
    <w:p>
      <w:pPr>
        <w:spacing w:after="0" w:line="252" w:lineRule="auto"/>
      </w:pPr>
      <w:r>
        <w:rPr>
          <w:rFonts w:ascii="Arial" w:hAnsi="Arial" w:cs="Arial" w:eastAsia="Arial"/>
          <w:b/>
          <w:color w:val="192E43"/>
          <w:sz w:val="60"/>
        </w:rPr>
        <w:t>Strategic Planning for</w:t>
      </w:r>
    </w:p>
    <w:p>
      <w:pPr>
        <w:spacing w:after="0" w:line="252" w:lineRule="auto"/>
      </w:pPr>
      <w:r>
        <w:rPr>
          <w:rFonts w:ascii="Arial" w:hAnsi="Arial" w:cs="Arial" w:eastAsia="Arial"/>
          <w:b/>
          <w:color w:val="192E43"/>
          <w:sz w:val="60"/>
        </w:rPr>
        <w:t>Intergovernmental Affairs</w:t>
      </w:r>
    </w:p>
    <w:p>
      <w:pPr>
        <w:pBdr>
          <w:bottom w:val="single" w:sz="18" w:space="8" w:color="A93632"/>
        </w:pBdr>
        <w:spacing w:before="160" w:after="200"/>
        <w:ind w:right="6624"/>
      </w:pPr>
    </w:p>
    <w:p>
      <w:r>
        <w:rPr>
          <w:rFonts w:ascii="Arial" w:hAnsi="Arial" w:cs="Arial" w:eastAsia="Arial"/>
          <w:color w:val="52606D"/>
          <w:sz w:val="28"/>
        </w:rPr>
        <w:t>How to use the Annual Intergovernmental Affairs Strategic Plan Toolkit</w:t>
      </w:r>
    </w:p>
    <w:p>
      <w:pPr>
        <w:spacing w:before="2400" w:after="0"/>
      </w:pPr>
    </w:p>
    <w:tbl>
      <w:tblPr>
        <w:tblW w:w="9648" w:type="dxa"/>
        <w:tblLayout w:type="fixed"/>
        <w:tblLook w:firstColumn="1" w:firstRow="1" w:lastColumn="0" w:lastRow="0" w:noHBand="0" w:noVBand="1" w:val="04A0"/>
      </w:tblPr>
      <w:tblGrid>
        <w:gridCol w:w="9648"/>
      </w:tblGrid>
      <w:tr>
        <w:tc>
          <w:tcPr>
            <w:tcW w:type="dxa" w:w="9648"/>
            <w:shd w:val="clear" w:color="auto" w:fill="192E43"/>
            <w:tcMar>
              <w:top w:w="160" w:type="dxa"/>
              <w:left w:w="200" w:type="dxa"/>
              <w:bottom w:w="160" w:type="dxa"/>
              <w:right w:w="200" w:type="dxa"/>
            </w:tcMar>
          </w:tcPr>
          <w:p>
            <w:pPr>
              <w:spacing w:after="40"/>
            </w:pPr>
            <w:r>
              <w:rPr>
                <w:rFonts w:ascii="Arial" w:hAnsi="Arial" w:cs="Arial" w:eastAsia="Arial"/>
                <w:b/>
                <w:color w:val="FFFFFF"/>
                <w:sz w:val="22"/>
              </w:rPr>
              <w:t>Intergov Association</w:t>
            </w:r>
          </w:p>
          <w:p>
            <w:pPr>
              <w:spacing w:after="0"/>
            </w:pPr>
            <w:r>
              <w:rPr>
                <w:rFonts w:ascii="Arial" w:hAnsi="Arial" w:cs="Arial" w:eastAsia="Arial"/>
                <w:color w:val="D5DAE0"/>
                <w:sz w:val="18"/>
              </w:rPr>
              <w:t>Professional Resource Library  |  Strategic Planning and Management</w:t>
            </w:r>
          </w:p>
          <w:p>
            <w:pPr>
              <w:spacing w:after="0"/>
            </w:pPr>
            <w:r>
              <w:rPr>
                <w:rFonts w:ascii="Arial" w:hAnsi="Arial" w:cs="Arial" w:eastAsia="Arial"/>
                <w:color w:val="D5DAE0"/>
                <w:sz w:val="18"/>
              </w:rPr>
              <w:t>Version 1.0 | October 2026</w:t>
            </w:r>
          </w:p>
        </w:tc>
      </w:tr>
    </w:tbl>
    <w:p>
      <w:pPr>
        <w:spacing w:after="0"/>
      </w:pPr>
      <w:r>
        <w:br w:type="page"/>
      </w:r>
    </w:p>
    <w:p>
      <w:pPr>
        <w:pStyle w:val="Heading1"/>
      </w:pPr>
      <w:r>
        <w:t>Using the Toolkit</w:t>
      </w:r>
    </w:p>
    <w:p>
      <w:r>
        <w:rPr>
          <w:rFonts w:ascii="Arial" w:hAnsi="Arial" w:cs="Arial" w:eastAsia="Arial"/>
        </w:rPr>
        <w:t>The toolkit has five files. The plan is for deciding and communicating. The tracker is for running the work. The completed example, written for a fictional county, shows what a finished plan and tracker look like so you can check your own before it goes to leadership.</w:t>
      </w:r>
    </w:p>
    <w:tbl>
      <w:tblPr>
        <w:tblW w:w="9647"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456"/>
        <w:gridCol w:w="4176"/>
        <w:gridCol w:w="2015"/>
      </w:tblGrid>
      <w:tr>
        <w:trPr>
          <w:tblHeader w:val="true"/>
          <w:cantSplit w:val="true"/>
        </w:trPr>
        <w:tc>
          <w:tcPr>
            <w:tcW w:type="dxa" w:w="3456"/>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File</w:t>
            </w:r>
          </w:p>
        </w:tc>
        <w:tc>
          <w:tcPr>
            <w:tcW w:type="dxa" w:w="4176"/>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Use it to</w:t>
            </w:r>
          </w:p>
        </w:tc>
        <w:tc>
          <w:tcPr>
            <w:tcW w:type="dxa" w:w="2016"/>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Who touches it</w:t>
            </w:r>
          </w:p>
        </w:tc>
      </w:tr>
      <w:tr>
        <w:trPr>
          <w:cantSplit w:val="true"/>
        </w:trPr>
        <w:tc>
          <w:tcPr>
            <w:tcW w:type="dxa" w:w="3456"/>
            <w:tcMar>
              <w:top w:w="45" w:type="dxa"/>
              <w:left w:w="80" w:type="dxa"/>
              <w:bottom w:w="45" w:type="dxa"/>
              <w:right w:w="60" w:type="dxa"/>
            </w:tcMar>
          </w:tcPr>
          <w:p>
            <w:pPr>
              <w:pStyle w:val="IGCell"/>
              <w:spacing w:after="0"/>
            </w:pPr>
            <w:r>
              <w:rPr>
                <w:rFonts w:ascii="Arial" w:hAnsi="Arial" w:cs="Arial" w:eastAsia="Arial"/>
                <w:b/>
                <w:color w:val="192E43"/>
                <w:sz w:val="18"/>
              </w:rPr>
              <w:t>Annual Strategic Plan Template</w:t>
            </w:r>
          </w:p>
        </w:tc>
        <w:tc>
          <w:tcPr>
            <w:tcW w:type="dxa" w:w="4176"/>
            <w:tcMar>
              <w:top w:w="45" w:type="dxa"/>
              <w:left w:w="80" w:type="dxa"/>
              <w:bottom w:w="45" w:type="dxa"/>
              <w:right w:w="60" w:type="dxa"/>
            </w:tcMar>
          </w:tcPr>
          <w:p>
            <w:pPr>
              <w:pStyle w:val="IGCell"/>
              <w:spacing w:after="0"/>
            </w:pPr>
            <w:r>
              <w:rPr>
                <w:rFonts w:ascii="Arial" w:hAnsi="Arial" w:cs="Arial" w:eastAsia="Arial"/>
                <w:color w:val="192E43"/>
                <w:sz w:val="18"/>
              </w:rPr>
              <w:t>Set priorities, agree decisions with leadership, and record what was approved. Holds executive summaries.</w:t>
            </w:r>
          </w:p>
        </w:tc>
        <w:tc>
          <w:tcPr>
            <w:tcW w:type="dxa" w:w="2016"/>
            <w:tcMar>
              <w:top w:w="45" w:type="dxa"/>
              <w:left w:w="80" w:type="dxa"/>
              <w:bottom w:w="45" w:type="dxa"/>
              <w:right w:w="60" w:type="dxa"/>
            </w:tcMar>
          </w:tcPr>
          <w:p>
            <w:pPr>
              <w:pStyle w:val="IGCell"/>
              <w:spacing w:after="0"/>
            </w:pPr>
            <w:r>
              <w:rPr>
                <w:rFonts w:ascii="Arial" w:hAnsi="Arial" w:cs="Arial" w:eastAsia="Arial"/>
                <w:color w:val="192E43"/>
                <w:sz w:val="18"/>
              </w:rPr>
              <w:t>Plan owner. Executive sponsor approves.</w:t>
            </w:r>
          </w:p>
        </w:tc>
      </w:tr>
      <w:tr>
        <w:trPr>
          <w:cantSplit w:val="true"/>
        </w:trPr>
        <w:tc>
          <w:tcPr>
            <w:tcW w:type="dxa" w:w="3456"/>
            <w:tcMar>
              <w:top w:w="45" w:type="dxa"/>
              <w:left w:w="80" w:type="dxa"/>
              <w:bottom w:w="45" w:type="dxa"/>
              <w:right w:w="60" w:type="dxa"/>
            </w:tcMar>
          </w:tcPr>
          <w:p>
            <w:pPr>
              <w:pStyle w:val="IGCell"/>
              <w:spacing w:after="0"/>
            </w:pPr>
            <w:r>
              <w:rPr>
                <w:rFonts w:ascii="Arial" w:hAnsi="Arial" w:cs="Arial" w:eastAsia="Arial"/>
                <w:b/>
                <w:color w:val="192E43"/>
                <w:sz w:val="18"/>
              </w:rPr>
              <w:t>Strategic Plan Tracker</w:t>
            </w:r>
          </w:p>
        </w:tc>
        <w:tc>
          <w:tcPr>
            <w:tcW w:type="dxa" w:w="4176"/>
            <w:tcMar>
              <w:top w:w="45" w:type="dxa"/>
              <w:left w:w="80" w:type="dxa"/>
              <w:bottom w:w="45" w:type="dxa"/>
              <w:right w:w="60" w:type="dxa"/>
            </w:tcMar>
          </w:tcPr>
          <w:p>
            <w:pPr>
              <w:pStyle w:val="IGCell"/>
              <w:spacing w:after="0"/>
            </w:pPr>
            <w:r>
              <w:rPr>
                <w:rFonts w:ascii="Arial" w:hAnsi="Arial" w:cs="Arial" w:eastAsia="Arial"/>
                <w:color w:val="192E43"/>
                <w:sz w:val="18"/>
              </w:rPr>
              <w:t>Hold every contact, milestone, risk, and action. Produce the dashboard.</w:t>
            </w:r>
          </w:p>
        </w:tc>
        <w:tc>
          <w:tcPr>
            <w:tcW w:type="dxa" w:w="2016"/>
            <w:tcMar>
              <w:top w:w="45" w:type="dxa"/>
              <w:left w:w="80" w:type="dxa"/>
              <w:bottom w:w="45" w:type="dxa"/>
              <w:right w:w="60" w:type="dxa"/>
            </w:tcMar>
          </w:tcPr>
          <w:p>
            <w:pPr>
              <w:pStyle w:val="IGCell"/>
              <w:spacing w:after="0"/>
            </w:pPr>
            <w:r>
              <w:rPr>
                <w:rFonts w:ascii="Arial" w:hAnsi="Arial" w:cs="Arial" w:eastAsia="Arial"/>
                <w:color w:val="192E43"/>
                <w:sz w:val="18"/>
              </w:rPr>
              <w:t>Whole office, weekly.</w:t>
            </w:r>
          </w:p>
        </w:tc>
      </w:tr>
      <w:tr>
        <w:trPr>
          <w:cantSplit w:val="true"/>
        </w:trPr>
        <w:tc>
          <w:tcPr>
            <w:tcW w:type="dxa" w:w="3456"/>
            <w:tcMar>
              <w:top w:w="45" w:type="dxa"/>
              <w:left w:w="80" w:type="dxa"/>
              <w:bottom w:w="45" w:type="dxa"/>
              <w:right w:w="60" w:type="dxa"/>
            </w:tcMar>
          </w:tcPr>
          <w:p>
            <w:pPr>
              <w:pStyle w:val="IGCell"/>
              <w:spacing w:after="0"/>
            </w:pPr>
            <w:r>
              <w:rPr>
                <w:rFonts w:ascii="Arial" w:hAnsi="Arial" w:cs="Arial" w:eastAsia="Arial"/>
                <w:b/>
                <w:color w:val="192E43"/>
                <w:sz w:val="18"/>
              </w:rPr>
              <w:t>Completed Example and Example Tracker</w:t>
            </w:r>
          </w:p>
        </w:tc>
        <w:tc>
          <w:tcPr>
            <w:tcW w:type="dxa" w:w="4176"/>
            <w:tcMar>
              <w:top w:w="45" w:type="dxa"/>
              <w:left w:w="80" w:type="dxa"/>
              <w:bottom w:w="45" w:type="dxa"/>
              <w:right w:w="60" w:type="dxa"/>
            </w:tcMar>
          </w:tcPr>
          <w:p>
            <w:pPr>
              <w:pStyle w:val="IGCell"/>
              <w:spacing w:after="0"/>
            </w:pPr>
            <w:r>
              <w:rPr>
                <w:rFonts w:ascii="Arial" w:hAnsi="Arial" w:cs="Arial" w:eastAsia="Arial"/>
                <w:color w:val="192E43"/>
                <w:sz w:val="18"/>
              </w:rPr>
              <w:t>Compare your draft with a worked scenario. Both files use the same identifiers, dates, owners, and statuses.</w:t>
            </w:r>
          </w:p>
        </w:tc>
        <w:tc>
          <w:tcPr>
            <w:tcW w:type="dxa" w:w="2016"/>
            <w:tcMar>
              <w:top w:w="45" w:type="dxa"/>
              <w:left w:w="80" w:type="dxa"/>
              <w:bottom w:w="45" w:type="dxa"/>
              <w:right w:w="60" w:type="dxa"/>
            </w:tcMar>
          </w:tcPr>
          <w:p>
            <w:pPr>
              <w:pStyle w:val="IGCell"/>
              <w:spacing w:after="0"/>
            </w:pPr>
            <w:r>
              <w:rPr>
                <w:rFonts w:ascii="Arial" w:hAnsi="Arial" w:cs="Arial" w:eastAsia="Arial"/>
                <w:color w:val="192E43"/>
                <w:sz w:val="18"/>
              </w:rPr>
              <w:t>Reference only.</w:t>
            </w:r>
          </w:p>
        </w:tc>
      </w:tr>
      <w:tr>
        <w:trPr>
          <w:cantSplit w:val="true"/>
        </w:trPr>
        <w:tc>
          <w:tcPr>
            <w:tcW w:type="dxa" w:w="3456"/>
            <w:tcMar>
              <w:top w:w="45" w:type="dxa"/>
              <w:left w:w="80" w:type="dxa"/>
              <w:bottom w:w="45" w:type="dxa"/>
              <w:right w:w="60" w:type="dxa"/>
            </w:tcMar>
          </w:tcPr>
          <w:p>
            <w:pPr>
              <w:pStyle w:val="IGCell"/>
              <w:spacing w:after="0"/>
            </w:pPr>
            <w:r>
              <w:rPr>
                <w:rFonts w:ascii="Arial" w:hAnsi="Arial" w:cs="Arial" w:eastAsia="Arial"/>
                <w:b/>
                <w:color w:val="192E43"/>
                <w:sz w:val="18"/>
              </w:rPr>
              <w:t>This guide</w:t>
            </w:r>
          </w:p>
        </w:tc>
        <w:tc>
          <w:tcPr>
            <w:tcW w:type="dxa" w:w="4176"/>
            <w:tcMar>
              <w:top w:w="45" w:type="dxa"/>
              <w:left w:w="80" w:type="dxa"/>
              <w:bottom w:w="45" w:type="dxa"/>
              <w:right w:w="60" w:type="dxa"/>
            </w:tcMar>
          </w:tcPr>
          <w:p>
            <w:pPr>
              <w:pStyle w:val="IGCell"/>
              <w:spacing w:after="0"/>
            </w:pPr>
            <w:r>
              <w:rPr>
                <w:rFonts w:ascii="Arial" w:hAnsi="Arial" w:cs="Arial" w:eastAsia="Arial"/>
                <w:color w:val="192E43"/>
                <w:sz w:val="18"/>
              </w:rPr>
              <w:t>Make the judgment calls the forms cannot make for you.</w:t>
            </w:r>
          </w:p>
        </w:tc>
        <w:tc>
          <w:tcPr>
            <w:tcW w:type="dxa" w:w="2016"/>
            <w:tcMar>
              <w:top w:w="45" w:type="dxa"/>
              <w:left w:w="80" w:type="dxa"/>
              <w:bottom w:w="45" w:type="dxa"/>
              <w:right w:w="60" w:type="dxa"/>
            </w:tcMar>
          </w:tcPr>
          <w:p>
            <w:pPr>
              <w:pStyle w:val="IGCell"/>
              <w:spacing w:after="0"/>
            </w:pPr>
            <w:r>
              <w:rPr>
                <w:rFonts w:ascii="Arial" w:hAnsi="Arial" w:cs="Arial" w:eastAsia="Arial"/>
                <w:color w:val="192E43"/>
                <w:sz w:val="18"/>
              </w:rPr>
              <w:t>Plan owner.</w:t>
            </w:r>
          </w:p>
        </w:tc>
      </w:tr>
    </w:tbl>
    <w:p>
      <w:pPr>
        <w:spacing w:after="80" w:line="144" w:lineRule="auto"/>
      </w:pPr>
    </w:p>
    <w:p>
      <w:pPr>
        <w:pStyle w:val="Heading2"/>
      </w:pPr>
      <w:r>
        <w:t>A plan year in six rhythms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872"/>
        <w:gridCol w:w="5328"/>
        <w:gridCol w:w="2448"/>
      </w:tblGrid>
      <w:tr>
        <w:trPr>
          <w:tblHeader w:val="true"/>
          <w:cantSplit w:val="true"/>
        </w:trPr>
        <w:tc>
          <w:tcPr>
            <w:tcW w:type="dxa" w:w="1872"/>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When</w:t>
            </w:r>
          </w:p>
        </w:tc>
        <w:tc>
          <w:tcPr>
            <w:tcW w:type="dxa" w:w="53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Work</w:t>
            </w:r>
          </w:p>
        </w:tc>
        <w:tc>
          <w:tcPr>
            <w:tcW w:type="dxa" w:w="244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Output</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8"/>
              </w:rPr>
              <w:t>Before the year</w:t>
            </w:r>
          </w:p>
        </w:tc>
        <w:tc>
          <w:tcPr>
            <w:tcW w:type="dxa" w:w="5328"/>
            <w:tcMar>
              <w:top w:w="45" w:type="dxa"/>
              <w:left w:w="80" w:type="dxa"/>
              <w:bottom w:w="45" w:type="dxa"/>
              <w:right w:w="60" w:type="dxa"/>
            </w:tcMar>
          </w:tcPr>
          <w:p>
            <w:pPr>
              <w:pStyle w:val="IGCell"/>
              <w:spacing w:after="0"/>
            </w:pPr>
            <w:r>
              <w:rPr>
                <w:rFonts w:ascii="Arial" w:hAnsi="Arial" w:cs="Arial" w:eastAsia="Arial"/>
                <w:color w:val="192E43"/>
                <w:sz w:val="18"/>
              </w:rPr>
              <w:t>Collect leadership documents. Draft sections 1 to 4. Test objectives. Agree the decision list with the executive sponsor.</w:t>
            </w:r>
          </w:p>
        </w:tc>
        <w:tc>
          <w:tcPr>
            <w:tcW w:type="dxa" w:w="2448"/>
            <w:tcMar>
              <w:top w:w="45" w:type="dxa"/>
              <w:left w:w="80" w:type="dxa"/>
              <w:bottom w:w="45" w:type="dxa"/>
              <w:right w:w="60" w:type="dxa"/>
            </w:tcMar>
          </w:tcPr>
          <w:p>
            <w:pPr>
              <w:pStyle w:val="IGCell"/>
              <w:spacing w:after="0"/>
            </w:pPr>
            <w:r>
              <w:rPr>
                <w:rFonts w:ascii="Arial" w:hAnsi="Arial" w:cs="Arial" w:eastAsia="Arial"/>
                <w:color w:val="192E43"/>
                <w:sz w:val="18"/>
              </w:rPr>
              <w:t>Approved plan</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8"/>
              </w:rPr>
              <w:t>First two weeks</w:t>
            </w:r>
          </w:p>
        </w:tc>
        <w:tc>
          <w:tcPr>
            <w:tcW w:type="dxa" w:w="5328"/>
            <w:tcMar>
              <w:top w:w="45" w:type="dxa"/>
              <w:left w:w="80" w:type="dxa"/>
              <w:bottom w:w="45" w:type="dxa"/>
              <w:right w:w="60" w:type="dxa"/>
            </w:tcMar>
          </w:tcPr>
          <w:p>
            <w:pPr>
              <w:pStyle w:val="IGCell"/>
              <w:spacing w:after="0"/>
            </w:pPr>
            <w:r>
              <w:rPr>
                <w:rFonts w:ascii="Arial" w:hAnsi="Arial" w:cs="Arial" w:eastAsia="Arial"/>
                <w:color w:val="192E43"/>
                <w:sz w:val="18"/>
              </w:rPr>
              <w:t>Load objectives, relationships, priorities, and milestones into the tracker. Set the plan-year start month and the report date.</w:t>
            </w:r>
          </w:p>
        </w:tc>
        <w:tc>
          <w:tcPr>
            <w:tcW w:type="dxa" w:w="2448"/>
            <w:tcMar>
              <w:top w:w="45" w:type="dxa"/>
              <w:left w:w="80" w:type="dxa"/>
              <w:bottom w:w="45" w:type="dxa"/>
              <w:right w:w="60" w:type="dxa"/>
            </w:tcMar>
          </w:tcPr>
          <w:p>
            <w:pPr>
              <w:pStyle w:val="IGCell"/>
              <w:spacing w:after="0"/>
            </w:pPr>
            <w:r>
              <w:rPr>
                <w:rFonts w:ascii="Arial" w:hAnsi="Arial" w:cs="Arial" w:eastAsia="Arial"/>
                <w:color w:val="192E43"/>
                <w:sz w:val="18"/>
              </w:rPr>
              <w:t>Tracker baseline</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8"/>
              </w:rPr>
              <w:t>Weekly</w:t>
            </w:r>
          </w:p>
        </w:tc>
        <w:tc>
          <w:tcPr>
            <w:tcW w:type="dxa" w:w="5328"/>
            <w:tcMar>
              <w:top w:w="45" w:type="dxa"/>
              <w:left w:w="80" w:type="dxa"/>
              <w:bottom w:w="45" w:type="dxa"/>
              <w:right w:w="60" w:type="dxa"/>
            </w:tcMar>
          </w:tcPr>
          <w:p>
            <w:pPr>
              <w:pStyle w:val="IGCell"/>
              <w:spacing w:after="0"/>
            </w:pPr>
            <w:r>
              <w:rPr>
                <w:rFonts w:ascii="Arial" w:hAnsi="Arial" w:cs="Arial" w:eastAsia="Arial"/>
                <w:color w:val="192E43"/>
                <w:sz w:val="18"/>
              </w:rPr>
              <w:t>Update actions and milestones. Send leadership a one-page list of pending decisions.</w:t>
            </w:r>
          </w:p>
        </w:tc>
        <w:tc>
          <w:tcPr>
            <w:tcW w:type="dxa" w:w="2448"/>
            <w:tcMar>
              <w:top w:w="45" w:type="dxa"/>
              <w:left w:w="80" w:type="dxa"/>
              <w:bottom w:w="45" w:type="dxa"/>
              <w:right w:w="60" w:type="dxa"/>
            </w:tcMar>
          </w:tcPr>
          <w:p>
            <w:pPr>
              <w:pStyle w:val="IGCell"/>
              <w:spacing w:after="0"/>
            </w:pPr>
            <w:r>
              <w:rPr>
                <w:rFonts w:ascii="Arial" w:hAnsi="Arial" w:cs="Arial" w:eastAsia="Arial"/>
                <w:color w:val="192E43"/>
                <w:sz w:val="18"/>
              </w:rPr>
              <w:t>Decision list</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8"/>
              </w:rPr>
              <w:t>Monthly</w:t>
            </w:r>
          </w:p>
        </w:tc>
        <w:tc>
          <w:tcPr>
            <w:tcW w:type="dxa" w:w="5328"/>
            <w:tcMar>
              <w:top w:w="45" w:type="dxa"/>
              <w:left w:w="80" w:type="dxa"/>
              <w:bottom w:w="45" w:type="dxa"/>
              <w:right w:w="60" w:type="dxa"/>
            </w:tcMar>
          </w:tcPr>
          <w:p>
            <w:pPr>
              <w:pStyle w:val="IGCell"/>
              <w:spacing w:after="0"/>
            </w:pPr>
            <w:r>
              <w:rPr>
                <w:rFonts w:ascii="Arial" w:hAnsi="Arial" w:cs="Arial" w:eastAsia="Arial"/>
                <w:color w:val="192E43"/>
                <w:sz w:val="18"/>
              </w:rPr>
              <w:t>Check the Relationships sheet for overdue contact. Review the top five risks.</w:t>
            </w:r>
          </w:p>
        </w:tc>
        <w:tc>
          <w:tcPr>
            <w:tcW w:type="dxa" w:w="2448"/>
            <w:tcMar>
              <w:top w:w="45" w:type="dxa"/>
              <w:left w:w="80" w:type="dxa"/>
              <w:bottom w:w="45" w:type="dxa"/>
              <w:right w:w="60" w:type="dxa"/>
            </w:tcMar>
          </w:tcPr>
          <w:p>
            <w:pPr>
              <w:pStyle w:val="IGCell"/>
              <w:spacing w:after="0"/>
            </w:pPr>
            <w:r>
              <w:rPr>
                <w:rFonts w:ascii="Arial" w:hAnsi="Arial" w:cs="Arial" w:eastAsia="Arial"/>
                <w:color w:val="192E43"/>
                <w:sz w:val="18"/>
              </w:rPr>
              <w:t>Contact and risk updates</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8"/>
              </w:rPr>
              <w:t>Quarterly</w:t>
            </w:r>
          </w:p>
        </w:tc>
        <w:tc>
          <w:tcPr>
            <w:tcW w:type="dxa" w:w="5328"/>
            <w:tcMar>
              <w:top w:w="45" w:type="dxa"/>
              <w:left w:w="80" w:type="dxa"/>
              <w:bottom w:w="45" w:type="dxa"/>
              <w:right w:w="60" w:type="dxa"/>
            </w:tcMar>
          </w:tcPr>
          <w:p>
            <w:pPr>
              <w:pStyle w:val="IGCell"/>
              <w:spacing w:after="0"/>
            </w:pPr>
            <w:r>
              <w:rPr>
                <w:rFonts w:ascii="Arial" w:hAnsi="Arial" w:cs="Arial" w:eastAsia="Arial"/>
                <w:color w:val="192E43"/>
                <w:sz w:val="18"/>
              </w:rPr>
              <w:t>Hold the review. Set the report date. Record status, evidence, and adjustments. Report.</w:t>
            </w:r>
          </w:p>
        </w:tc>
        <w:tc>
          <w:tcPr>
            <w:tcW w:type="dxa" w:w="2448"/>
            <w:tcMar>
              <w:top w:w="45" w:type="dxa"/>
              <w:left w:w="80" w:type="dxa"/>
              <w:bottom w:w="45" w:type="dxa"/>
              <w:right w:w="60" w:type="dxa"/>
            </w:tcMar>
          </w:tcPr>
          <w:p>
            <w:pPr>
              <w:pStyle w:val="IGCell"/>
              <w:spacing w:after="0"/>
            </w:pPr>
            <w:r>
              <w:rPr>
                <w:rFonts w:ascii="Arial" w:hAnsi="Arial" w:cs="Arial" w:eastAsia="Arial"/>
                <w:color w:val="192E43"/>
                <w:sz w:val="18"/>
              </w:rPr>
              <w:t>Quarterly report</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8"/>
              </w:rPr>
              <w:t>Mid-year and year end</w:t>
            </w:r>
          </w:p>
        </w:tc>
        <w:tc>
          <w:tcPr>
            <w:tcW w:type="dxa" w:w="5328"/>
            <w:tcMar>
              <w:top w:w="45" w:type="dxa"/>
              <w:left w:w="80" w:type="dxa"/>
              <w:bottom w:w="45" w:type="dxa"/>
              <w:right w:w="60" w:type="dxa"/>
            </w:tcMar>
          </w:tcPr>
          <w:p>
            <w:pPr>
              <w:pStyle w:val="IGCell"/>
              <w:spacing w:after="0"/>
            </w:pPr>
            <w:r>
              <w:rPr>
                <w:rFonts w:ascii="Arial" w:hAnsi="Arial" w:cs="Arial" w:eastAsia="Arial"/>
                <w:color w:val="192E43"/>
                <w:sz w:val="18"/>
              </w:rPr>
              <w:t>Take an adjustment decision to leadership. Close the year. Carry what worked into the next plan.</w:t>
            </w:r>
          </w:p>
        </w:tc>
        <w:tc>
          <w:tcPr>
            <w:tcW w:type="dxa" w:w="2448"/>
            <w:tcMar>
              <w:top w:w="45" w:type="dxa"/>
              <w:left w:w="80" w:type="dxa"/>
              <w:bottom w:w="45" w:type="dxa"/>
              <w:right w:w="60" w:type="dxa"/>
            </w:tcMar>
          </w:tcPr>
          <w:p>
            <w:pPr>
              <w:pStyle w:val="IGCell"/>
              <w:spacing w:after="0"/>
            </w:pPr>
            <w:r>
              <w:rPr>
                <w:rFonts w:ascii="Arial" w:hAnsi="Arial" w:cs="Arial" w:eastAsia="Arial"/>
                <w:color w:val="192E43"/>
                <w:sz w:val="18"/>
              </w:rPr>
              <w:t>Adjustment memo, year-end report</w:t>
            </w:r>
          </w:p>
        </w:tc>
      </w:tr>
    </w:tbl>
    <w:p>
      <w:pPr>
        <w:spacing w:after="80" w:line="144" w:lineRule="auto"/>
      </w:pPr>
    </w:p>
    <w:p>
      <w:pPr>
        <w:pStyle w:val="Heading2"/>
      </w:pPr>
      <w:r>
        <w:t>How the plan and the tracker divide the work</w:t>
      </w:r>
    </w:p>
    <w:p>
      <w:r>
        <w:rPr>
          <w:rFonts w:ascii="Arial" w:hAnsi="Arial" w:cs="Arial" w:eastAsia="Arial"/>
        </w:rPr>
        <w:t>The Word plan is the document leadership approves, so it carries summaries: the objectives, the relationships that decide outcomes, the matters before decision-makers, the milestones leadership needs to see, and the highest risks. The tracker is the working record, so it carries everything else. Do not copy full registers into the plan. Do not keep detail only in the plan, where no formula can use it. Each plan section points to its tracker sheet in the crosswalk table on page 2 of the template.</w:t>
      </w:r>
    </w:p>
    <w:p>
      <w:pPr>
        <w:keepNext/>
      </w:pPr>
      <w:r>
        <w:rPr>
          <w:rFonts w:ascii="Arial" w:hAnsi="Arial" w:cs="Arial" w:eastAsia="Arial"/>
        </w:rPr>
        <w:t>Both files use the same identifiers. Number each record type in sequence and never reuse an identifier after an item closes, so that a reference in an old report still points to the same thing.</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592"/>
        <w:gridCol w:w="2160"/>
        <w:gridCol w:w="4896"/>
      </w:tblGrid>
      <w:tr>
        <w:trPr>
          <w:tblHeader w:val="true"/>
          <w:cantSplit w:val="true"/>
        </w:trPr>
        <w:tc>
          <w:tcPr>
            <w:tcW w:type="dxa" w:w="2592"/>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Record</w:t>
            </w:r>
          </w:p>
        </w:tc>
        <w:tc>
          <w:tcPr>
            <w:tcW w:type="dxa" w:w="2160"/>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Format</w:t>
            </w:r>
          </w:p>
        </w:tc>
        <w:tc>
          <w:tcPr>
            <w:tcW w:type="dxa" w:w="4896"/>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Notes</w:t>
            </w:r>
          </w:p>
        </w:tc>
      </w:tr>
      <w:tr>
        <w:trPr>
          <w:cantSplit w:val="true"/>
        </w:trPr>
        <w:tc>
          <w:tcPr>
            <w:tcW w:type="dxa" w:w="2592"/>
            <w:tcMar>
              <w:top w:w="45" w:type="dxa"/>
              <w:left w:w="80" w:type="dxa"/>
              <w:bottom w:w="45" w:type="dxa"/>
              <w:right w:w="60" w:type="dxa"/>
            </w:tcMar>
          </w:tcPr>
          <w:p>
            <w:pPr>
              <w:pStyle w:val="IGCell"/>
              <w:keepNext/>
              <w:spacing w:after="0"/>
            </w:pPr>
            <w:r>
              <w:rPr>
                <w:rFonts w:ascii="Arial" w:hAnsi="Arial" w:cs="Arial" w:eastAsia="Arial"/>
                <w:b/>
                <w:color w:val="192E43"/>
                <w:sz w:val="18"/>
              </w:rPr>
              <w:t>Executive priority, objective</w:t>
            </w:r>
          </w:p>
        </w:tc>
        <w:tc>
          <w:tcPr>
            <w:tcW w:type="dxa" w:w="2160"/>
            <w:tcMar>
              <w:top w:w="45" w:type="dxa"/>
              <w:left w:w="80" w:type="dxa"/>
              <w:bottom w:w="45" w:type="dxa"/>
              <w:right w:w="60" w:type="dxa"/>
            </w:tcMar>
          </w:tcPr>
          <w:p>
            <w:pPr>
              <w:pStyle w:val="IGCell"/>
              <w:keepNext/>
              <w:spacing w:after="0"/>
            </w:pPr>
            <w:r>
              <w:rPr>
                <w:rFonts w:ascii="Arial" w:hAnsi="Arial" w:cs="Arial" w:eastAsia="Arial"/>
                <w:color w:val="192E43"/>
                <w:sz w:val="18"/>
              </w:rPr>
              <w:t>EP-1, OBJ-1</w:t>
            </w:r>
          </w:p>
        </w:tc>
        <w:tc>
          <w:tcPr>
            <w:tcW w:type="dxa" w:w="4896"/>
            <w:tcMar>
              <w:top w:w="45" w:type="dxa"/>
              <w:left w:w="80" w:type="dxa"/>
              <w:bottom w:w="45" w:type="dxa"/>
              <w:right w:w="60" w:type="dxa"/>
            </w:tcMar>
          </w:tcPr>
          <w:p>
            <w:pPr>
              <w:pStyle w:val="IGCell"/>
              <w:keepNext/>
              <w:spacing w:after="0"/>
            </w:pPr>
            <w:r>
              <w:rPr>
                <w:rFonts w:ascii="Arial" w:hAnsi="Arial" w:cs="Arial" w:eastAsia="Arial"/>
                <w:color w:val="192E43"/>
                <w:sz w:val="18"/>
              </w:rPr>
              <w:t>Single digit until you pass nine. The plan and the tracker use the same numbers.</w:t>
            </w:r>
          </w:p>
        </w:tc>
      </w:tr>
      <w:tr>
        <w:trPr>
          <w:cantSplit w:val="true"/>
        </w:trPr>
        <w:tc>
          <w:tcPr>
            <w:tcW w:type="dxa" w:w="2592"/>
            <w:tcMar>
              <w:top w:w="45" w:type="dxa"/>
              <w:left w:w="80" w:type="dxa"/>
              <w:bottom w:w="45" w:type="dxa"/>
              <w:right w:w="60" w:type="dxa"/>
            </w:tcMar>
          </w:tcPr>
          <w:p>
            <w:pPr>
              <w:pStyle w:val="IGCell"/>
              <w:keepNext/>
              <w:spacing w:after="0"/>
            </w:pPr>
            <w:r>
              <w:rPr>
                <w:rFonts w:ascii="Arial" w:hAnsi="Arial" w:cs="Arial" w:eastAsia="Arial"/>
                <w:b/>
                <w:color w:val="192E43"/>
                <w:sz w:val="18"/>
              </w:rPr>
              <w:t>Relationship</w:t>
            </w:r>
          </w:p>
        </w:tc>
        <w:tc>
          <w:tcPr>
            <w:tcW w:type="dxa" w:w="2160"/>
            <w:tcMar>
              <w:top w:w="45" w:type="dxa"/>
              <w:left w:w="80" w:type="dxa"/>
              <w:bottom w:w="45" w:type="dxa"/>
              <w:right w:w="60" w:type="dxa"/>
            </w:tcMar>
          </w:tcPr>
          <w:p>
            <w:pPr>
              <w:pStyle w:val="IGCell"/>
              <w:keepNext/>
              <w:spacing w:after="0"/>
            </w:pPr>
            <w:r>
              <w:rPr>
                <w:rFonts w:ascii="Arial" w:hAnsi="Arial" w:cs="Arial" w:eastAsia="Arial"/>
                <w:color w:val="192E43"/>
                <w:sz w:val="18"/>
              </w:rPr>
              <w:t>REL-01</w:t>
            </w:r>
          </w:p>
        </w:tc>
        <w:tc>
          <w:tcPr>
            <w:tcW w:type="dxa" w:w="4896"/>
            <w:tcMar>
              <w:top w:w="45" w:type="dxa"/>
              <w:left w:w="80" w:type="dxa"/>
              <w:bottom w:w="45" w:type="dxa"/>
              <w:right w:w="60" w:type="dxa"/>
            </w:tcMar>
          </w:tcPr>
          <w:p>
            <w:pPr>
              <w:pStyle w:val="IGCell"/>
              <w:keepNext/>
              <w:spacing w:after="0"/>
            </w:pPr>
            <w:r>
              <w:rPr>
                <w:rFonts w:ascii="Arial" w:hAnsi="Arial" w:cs="Arial" w:eastAsia="Arial"/>
                <w:color w:val="192E43"/>
                <w:sz w:val="18"/>
              </w:rPr>
              <w:t>One per institution, with one lead on your side.</w:t>
            </w:r>
          </w:p>
        </w:tc>
      </w:tr>
      <w:tr>
        <w:trPr>
          <w:cantSplit w:val="true"/>
        </w:trPr>
        <w:tc>
          <w:tcPr>
            <w:tcW w:type="dxa" w:w="2592"/>
            <w:tcMar>
              <w:top w:w="45" w:type="dxa"/>
              <w:left w:w="80" w:type="dxa"/>
              <w:bottom w:w="45" w:type="dxa"/>
              <w:right w:w="60" w:type="dxa"/>
            </w:tcMar>
          </w:tcPr>
          <w:p>
            <w:pPr>
              <w:pStyle w:val="IGCell"/>
              <w:keepNext/>
              <w:spacing w:after="0"/>
            </w:pPr>
            <w:r>
              <w:rPr>
                <w:rFonts w:ascii="Arial" w:hAnsi="Arial" w:cs="Arial" w:eastAsia="Arial"/>
                <w:b/>
                <w:color w:val="192E43"/>
                <w:sz w:val="18"/>
              </w:rPr>
              <w:t>Legislative item, administrative item</w:t>
            </w:r>
          </w:p>
        </w:tc>
        <w:tc>
          <w:tcPr>
            <w:tcW w:type="dxa" w:w="2160"/>
            <w:tcMar>
              <w:top w:w="45" w:type="dxa"/>
              <w:left w:w="80" w:type="dxa"/>
              <w:bottom w:w="45" w:type="dxa"/>
              <w:right w:w="60" w:type="dxa"/>
            </w:tcMar>
          </w:tcPr>
          <w:p>
            <w:pPr>
              <w:pStyle w:val="IGCell"/>
              <w:keepNext/>
              <w:spacing w:after="0"/>
            </w:pPr>
            <w:r>
              <w:rPr>
                <w:rFonts w:ascii="Arial" w:hAnsi="Arial" w:cs="Arial" w:eastAsia="Arial"/>
                <w:color w:val="192E43"/>
                <w:sz w:val="18"/>
              </w:rPr>
              <w:t>LEG-01, ADM-01</w:t>
            </w:r>
          </w:p>
        </w:tc>
        <w:tc>
          <w:tcPr>
            <w:tcW w:type="dxa" w:w="4896"/>
            <w:tcMar>
              <w:top w:w="45" w:type="dxa"/>
              <w:left w:w="80" w:type="dxa"/>
              <w:bottom w:w="45" w:type="dxa"/>
              <w:right w:w="60" w:type="dxa"/>
            </w:tcMar>
          </w:tcPr>
          <w:p>
            <w:pPr>
              <w:pStyle w:val="IGCell"/>
              <w:keepNext/>
              <w:spacing w:after="0"/>
            </w:pPr>
            <w:r>
              <w:rPr>
                <w:rFonts w:ascii="Arial" w:hAnsi="Arial" w:cs="Arial" w:eastAsia="Arial"/>
                <w:color w:val="192E43"/>
                <w:sz w:val="18"/>
              </w:rPr>
              <w:t>LEG for matters before a legislative body. ADM for matters before an agency or other executive decision-maker. The tracker flags a prefix that does not match the Track.</w:t>
            </w:r>
          </w:p>
        </w:tc>
      </w:tr>
      <w:tr>
        <w:trPr>
          <w:cantSplit w:val="true"/>
        </w:trPr>
        <w:tc>
          <w:tcPr>
            <w:tcW w:type="dxa" w:w="2592"/>
            <w:tcMar>
              <w:top w:w="45" w:type="dxa"/>
              <w:left w:w="80" w:type="dxa"/>
              <w:bottom w:w="45" w:type="dxa"/>
              <w:right w:w="60" w:type="dxa"/>
            </w:tcMar>
          </w:tcPr>
          <w:p>
            <w:pPr>
              <w:pStyle w:val="IGCell"/>
              <w:keepNext/>
              <w:spacing w:after="0"/>
            </w:pPr>
            <w:r>
              <w:rPr>
                <w:rFonts w:ascii="Arial" w:hAnsi="Arial" w:cs="Arial" w:eastAsia="Arial"/>
                <w:b/>
                <w:color w:val="192E43"/>
                <w:sz w:val="18"/>
              </w:rPr>
              <w:t>Milestone, action</w:t>
            </w:r>
          </w:p>
        </w:tc>
        <w:tc>
          <w:tcPr>
            <w:tcW w:type="dxa" w:w="2160"/>
            <w:tcMar>
              <w:top w:w="45" w:type="dxa"/>
              <w:left w:w="80" w:type="dxa"/>
              <w:bottom w:w="45" w:type="dxa"/>
              <w:right w:w="60" w:type="dxa"/>
            </w:tcMar>
          </w:tcPr>
          <w:p>
            <w:pPr>
              <w:pStyle w:val="IGCell"/>
              <w:keepNext/>
              <w:spacing w:after="0"/>
            </w:pPr>
            <w:r>
              <w:rPr>
                <w:rFonts w:ascii="Arial" w:hAnsi="Arial" w:cs="Arial" w:eastAsia="Arial"/>
                <w:color w:val="192E43"/>
                <w:sz w:val="18"/>
              </w:rPr>
              <w:t>MS-001, ACT-001</w:t>
            </w:r>
          </w:p>
        </w:tc>
        <w:tc>
          <w:tcPr>
            <w:tcW w:type="dxa" w:w="4896"/>
            <w:tcMar>
              <w:top w:w="45" w:type="dxa"/>
              <w:left w:w="80" w:type="dxa"/>
              <w:bottom w:w="45" w:type="dxa"/>
              <w:right w:w="60" w:type="dxa"/>
            </w:tcMar>
          </w:tcPr>
          <w:p>
            <w:pPr>
              <w:pStyle w:val="IGCell"/>
              <w:keepNext/>
              <w:spacing w:after="0"/>
            </w:pPr>
            <w:r>
              <w:rPr>
                <w:rFonts w:ascii="Arial" w:hAnsi="Arial" w:cs="Arial" w:eastAsia="Arial"/>
                <w:color w:val="192E43"/>
                <w:sz w:val="18"/>
              </w:rPr>
              <w:t>Three digits because these registers grow quickly.</w:t>
            </w:r>
          </w:p>
        </w:tc>
      </w:tr>
      <w:tr>
        <w:trPr>
          <w:cantSplit w:val="true"/>
        </w:trPr>
        <w:tc>
          <w:tcPr>
            <w:tcW w:type="dxa" w:w="2592"/>
            <w:tcMar>
              <w:top w:w="45" w:type="dxa"/>
              <w:left w:w="80" w:type="dxa"/>
              <w:bottom w:w="45" w:type="dxa"/>
              <w:right w:w="60" w:type="dxa"/>
            </w:tcMar>
          </w:tcPr>
          <w:p>
            <w:pPr>
              <w:pStyle w:val="IGCell"/>
              <w:spacing w:after="0"/>
            </w:pPr>
            <w:r>
              <w:rPr>
                <w:rFonts w:ascii="Arial" w:hAnsi="Arial" w:cs="Arial" w:eastAsia="Arial"/>
                <w:b/>
                <w:color w:val="192E43"/>
                <w:sz w:val="18"/>
              </w:rPr>
              <w:t>Risk, escalation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8"/>
              </w:rPr>
              <w:t>RSK-01, ESC-01</w:t>
            </w:r>
          </w:p>
        </w:tc>
        <w:tc>
          <w:tcPr>
            <w:tcW w:type="dxa" w:w="4896"/>
            <w:tcMar>
              <w:top w:w="45" w:type="dxa"/>
              <w:left w:w="80" w:type="dxa"/>
              <w:bottom w:w="45" w:type="dxa"/>
              <w:right w:w="60" w:type="dxa"/>
            </w:tcMar>
          </w:tcPr>
          <w:p>
            <w:pPr>
              <w:pStyle w:val="IGCell"/>
              <w:spacing w:after="0"/>
            </w:pPr>
            <w:r>
              <w:rPr>
                <w:rFonts w:ascii="Arial" w:hAnsi="Arial" w:cs="Arial" w:eastAsia="Arial"/>
                <w:color w:val="192E43"/>
                <w:sz w:val="18"/>
              </w:rPr>
              <w:t>Escalations cite the risk and objective they relate to.</w:t>
            </w:r>
          </w:p>
        </w:tc>
      </w:tr>
    </w:tbl>
    <w:p>
      <w:pPr>
        <w:spacing w:after="80" w:line="144" w:lineRule="auto"/>
      </w:pPr>
    </w:p>
    <w:p>
      <w:r>
        <w:rPr>
          <w:rFonts w:ascii="Arial" w:hAnsi="Arial" w:cs="Arial" w:eastAsia="Arial"/>
        </w:rPr>
        <w:t>The template numbers its tables for you. When you add a row, enter the next number in sequence. The Data Checks on the tracker dashboard count duplicate identifiers, references to records that do not exist, mismatched LEG and ADM prefixes, missing owners, and dates that do not make sense.</w:t>
      </w:r>
    </w:p>
    <w:p>
      <w:pPr>
        <w:pStyle w:val="Heading1"/>
      </w:pPr>
      <w:r>
        <w:t>1. Establishing Priorities That Reflect Leadership</w:t>
      </w:r>
    </w:p>
    <w:p>
      <w:r>
        <w:rPr>
          <w:rFonts w:ascii="Arial" w:hAnsi="Arial" w:cs="Arial" w:eastAsia="Arial"/>
        </w:rPr>
        <w:t>A plan that reflects what the office finds interesting will lose to the first request from the executive's calendar. A plan that quotes leadership back to itself will survive. Section 3 of the template exists to make that connection visible and checkable.</w:t>
      </w:r>
    </w:p>
    <w:p>
      <w:pPr>
        <w:pStyle w:val="ListBullet"/>
        <w:keepNext/>
        <w:keepLines/>
        <w:spacing w:after="60"/>
      </w:pPr>
      <w:r>
        <w:rPr>
          <w:rFonts w:ascii="Arial" w:hAnsi="Arial" w:cs="Arial" w:eastAsia="Arial"/>
          <w:b/>
          <w:sz w:val="20"/>
        </w:rPr>
        <w:t>Start from documents, not conversations.</w:t>
      </w:r>
      <w:r>
        <w:rPr>
          <w:rFonts w:ascii="Arial" w:hAnsi="Arial" w:cs="Arial" w:eastAsia="Arial"/>
          <w:sz w:val="20"/>
        </w:rPr>
        <w:t xml:space="preserve"> Budget messages, legislative platforms, governing board resolutions, and written directives can be cited with a date. A priority you heard in a hallway cannot. Put the source in the table. If you cannot cite one, label the item an office priority.</w:t>
      </w:r>
    </w:p>
    <w:p>
      <w:pPr>
        <w:pStyle w:val="ListBullet"/>
        <w:keepNext/>
        <w:keepLines/>
        <w:spacing w:after="60"/>
      </w:pPr>
      <w:r>
        <w:rPr>
          <w:rFonts w:ascii="Arial" w:hAnsi="Arial" w:cs="Arial" w:eastAsia="Arial"/>
          <w:b/>
          <w:sz w:val="20"/>
        </w:rPr>
        <w:t>Keep the list short.</w:t>
      </w:r>
      <w:r>
        <w:rPr>
          <w:rFonts w:ascii="Arial" w:hAnsi="Arial" w:cs="Arial" w:eastAsia="Arial"/>
          <w:sz w:val="20"/>
        </w:rPr>
        <w:t xml:space="preserve"> Four or five executive priorities is workable. More than that usually means leadership has not ranked them, which is a decision to ask for, not a gap to fill yourself.</w:t>
      </w:r>
    </w:p>
    <w:p>
      <w:pPr>
        <w:pStyle w:val="ListBullet"/>
        <w:keepNext/>
        <w:keepLines/>
        <w:spacing w:after="60"/>
      </w:pPr>
      <w:r>
        <w:rPr>
          <w:rFonts w:ascii="Arial" w:hAnsi="Arial" w:cs="Arial" w:eastAsia="Arial"/>
          <w:b/>
          <w:sz w:val="20"/>
        </w:rPr>
        <w:t>Force the ranking when priorities compete.</w:t>
      </w:r>
      <w:r>
        <w:rPr>
          <w:rFonts w:ascii="Arial" w:hAnsi="Arial" w:cs="Arial" w:eastAsia="Arial"/>
          <w:sz w:val="20"/>
        </w:rPr>
        <w:t xml:space="preserve"> Ask a concrete question: if two priorities need the same person in March, which one yields? Record the answer in the plan. Executives will give it when it is framed as a staffing trade, and rarely will in the abstract.</w:t>
      </w:r>
    </w:p>
    <w:p>
      <w:pPr>
        <w:pStyle w:val="ListBullet"/>
        <w:keepNext/>
        <w:keepLines/>
        <w:spacing w:after="60"/>
      </w:pPr>
      <w:r>
        <w:rPr>
          <w:rFonts w:ascii="Arial" w:hAnsi="Arial" w:cs="Arial" w:eastAsia="Arial"/>
          <w:b/>
          <w:sz w:val="20"/>
        </w:rPr>
        <w:t>Write the decision list with the sponsor.</w:t>
      </w:r>
      <w:r>
        <w:rPr>
          <w:rFonts w:ascii="Arial" w:hAnsi="Arial" w:cs="Arial" w:eastAsia="Arial"/>
          <w:sz w:val="20"/>
        </w:rPr>
        <w:t xml:space="preserve"> Section 3.2 lists what you need from leadership and by when. It turns a plan into a joint commitment. An executive who has agreed that a decision is due April 16 is far more likely to make it.</w:t>
      </w:r>
    </w:p>
    <w:p>
      <w:pPr>
        <w:pStyle w:val="ListBullet"/>
        <w:keepLines/>
        <w:spacing w:after="60"/>
      </w:pPr>
      <w:r>
        <w:rPr>
          <w:rFonts w:ascii="Arial" w:hAnsi="Arial" w:cs="Arial" w:eastAsia="Arial"/>
          <w:b/>
          <w:sz w:val="20"/>
        </w:rPr>
        <w:t>Give priorities an expiry.</w:t>
      </w:r>
      <w:r>
        <w:rPr>
          <w:rFonts w:ascii="Arial" w:hAnsi="Arial" w:cs="Arial" w:eastAsia="Arial"/>
          <w:sz w:val="20"/>
        </w:rPr>
        <w:t xml:space="preserve"> Elections, leadership changes, and budget cycles will change what leadership wants. Put those dates in the calendar in section 4.3 so the plan states when its assumptions about leadership may be tested.</w:t>
      </w: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In the example.  </w:t>
      </w:r>
      <w:r>
        <w:rPr>
          <w:rFonts w:ascii="Arial" w:hAnsi="Arial" w:cs="Arial" w:eastAsia="Arial"/>
          <w:color w:val="52606D"/>
          <w:sz w:val="17"/>
        </w:rPr>
        <w:t>Eastbrook County's four executive priorities each cite a dated leadership document or planning meeting. The decisions list has six entries, each naming who decides, by when, and what slips without a decision. Three are already due or about to be.</w:t>
      </w:r>
    </w:p>
    <w:p>
      <w:pPr>
        <w:pStyle w:val="Heading1"/>
      </w:pPr>
      <w:r>
        <w:t>2. Strategic Objectives Versus Routine Activity</w:t>
      </w:r>
    </w:p>
    <w:p>
      <w:r>
        <w:rPr>
          <w:rFonts w:ascii="Arial" w:hAnsi="Arial" w:cs="Arial" w:eastAsia="Arial"/>
        </w:rPr>
        <w:t>Most offices do a great deal of valuable work that is not strategic: monitoring bills, attending meetings, answering inquiries, drafting letters. That work belongs in the Actions log. A strategic objective is a meaningful, verifiable result that advances the office's mission. It may depend on a decision by another government, or it may be an important improvement in how the institution itself works: an adopted position-clearance process, an executive reporting procedure, an intergovernmental engagement framework, a coordinated legislative response process, or an interagency coordination protocol.</w:t>
      </w:r>
    </w:p>
    <w:p>
      <w:pPr>
        <w:keepNext/>
      </w:pPr>
      <w:r>
        <w:rPr>
          <w:rFonts w:ascii="Arial" w:hAnsi="Arial" w:cs="Arial" w:eastAsia="Arial"/>
        </w:rPr>
        <w:t>Significance, a measurable result, and lasting value to the organization separate an objective from routine activity. Whether another government makes the decision does not. Apply five tests to every proposed objective. It should pass all five.</w:t>
      </w:r>
    </w:p>
    <w:p>
      <w:pPr>
        <w:pStyle w:val="ListBullet"/>
        <w:keepNext/>
        <w:keepLines/>
        <w:spacing w:after="60"/>
      </w:pPr>
      <w:r>
        <w:rPr>
          <w:rFonts w:ascii="Arial" w:hAnsi="Arial" w:cs="Arial" w:eastAsia="Arial"/>
          <w:b/>
          <w:sz w:val="20"/>
        </w:rPr>
        <w:t>It matters.</w:t>
      </w:r>
      <w:r>
        <w:rPr>
          <w:rFonts w:ascii="Arial" w:hAnsi="Arial" w:cs="Arial" w:eastAsia="Arial"/>
          <w:sz w:val="20"/>
        </w:rPr>
        <w:t xml:space="preserve"> Leadership would notice if it did not happen, and it advances the mission or an executive priority. If your office can finish it in an afternoon, it is a task.</w:t>
      </w:r>
    </w:p>
    <w:p>
      <w:pPr>
        <w:pStyle w:val="ListBullet"/>
        <w:keepNext/>
        <w:keepLines/>
        <w:spacing w:after="60"/>
      </w:pPr>
      <w:r>
        <w:rPr>
          <w:rFonts w:ascii="Arial" w:hAnsi="Arial" w:cs="Arial" w:eastAsia="Arial"/>
          <w:b/>
          <w:sz w:val="20"/>
        </w:rPr>
        <w:t>An outsider could verify it.</w:t>
      </w:r>
      <w:r>
        <w:rPr>
          <w:rFonts w:ascii="Arial" w:hAnsi="Arial" w:cs="Arial" w:eastAsia="Arial"/>
          <w:sz w:val="20"/>
        </w:rPr>
        <w:t xml:space="preserve"> Enacted, executed, committed in writing, adopted, in use. Not improved, strengthened, or enhanced.</w:t>
      </w:r>
    </w:p>
    <w:p>
      <w:pPr>
        <w:pStyle w:val="ListBullet"/>
        <w:keepNext/>
        <w:keepLines/>
        <w:spacing w:after="60"/>
      </w:pPr>
      <w:r>
        <w:rPr>
          <w:rFonts w:ascii="Arial" w:hAnsi="Arial" w:cs="Arial" w:eastAsia="Arial"/>
          <w:b/>
          <w:sz w:val="20"/>
        </w:rPr>
        <w:t>It changes something that lasts.</w:t>
      </w:r>
      <w:r>
        <w:rPr>
          <w:rFonts w:ascii="Arial" w:hAnsi="Arial" w:cs="Arial" w:eastAsia="Arial"/>
          <w:sz w:val="20"/>
        </w:rPr>
        <w:t xml:space="preserve"> Another government decides, or the office works differently afterward. A procedure on paper that nobody follows does not count.</w:t>
      </w:r>
    </w:p>
    <w:p>
      <w:pPr>
        <w:pStyle w:val="ListBullet"/>
        <w:keepNext/>
        <w:keepLines/>
        <w:spacing w:after="60"/>
      </w:pPr>
      <w:r>
        <w:rPr>
          <w:rFonts w:ascii="Arial" w:hAnsi="Arial" w:cs="Arial" w:eastAsia="Arial"/>
          <w:b/>
          <w:sz w:val="20"/>
        </w:rPr>
        <w:t>It has a date and one lead.</w:t>
      </w:r>
      <w:r>
        <w:rPr>
          <w:rFonts w:ascii="Arial" w:hAnsi="Arial" w:cs="Arial" w:eastAsia="Arial"/>
          <w:sz w:val="20"/>
        </w:rPr>
        <w:t xml:space="preserve"> If another body sets the date, say so in the milestone type. Shared ownership usually means no one owns the result.</w:t>
      </w:r>
    </w:p>
    <w:p>
      <w:pPr>
        <w:pStyle w:val="ListBullet"/>
        <w:keepLines/>
        <w:spacing w:after="60"/>
      </w:pPr>
      <w:r>
        <w:rPr>
          <w:rFonts w:ascii="Arial" w:hAnsi="Arial" w:cs="Arial" w:eastAsia="Arial"/>
          <w:b/>
          <w:sz w:val="20"/>
        </w:rPr>
        <w:t>It would not happen without deliberate effort.</w:t>
      </w:r>
      <w:r>
        <w:rPr>
          <w:rFonts w:ascii="Arial" w:hAnsi="Arial" w:cs="Arial" w:eastAsia="Arial"/>
          <w:sz w:val="20"/>
        </w:rPr>
        <w:t xml:space="preserve"> If it will occur anyway, it needs monitoring, not an objective.</w:t>
      </w:r>
    </w:p>
    <w:p>
      <w:r>
        <w:rPr>
          <w:rFonts w:ascii="Arial" w:hAnsi="Arial" w:cs="Arial" w:eastAsia="Arial"/>
        </w:rPr>
        <w:t>Internal and external objectives are planned and tracked the same way. The Type field records which kind it is, and Internal Process is one of the choices. Keep the balance honest: a plan made up only of internal improvements has not said what the office will achieve with other governments.</w:t>
      </w:r>
    </w:p>
    <w:tbl>
      <w:tblPr>
        <w:tblW w:w="9647"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744"/>
        <w:gridCol w:w="5903"/>
      </w:tblGrid>
      <w:tr>
        <w:trPr>
          <w:tblHeader w:val="true"/>
          <w:cantSplit w:val="true"/>
        </w:trPr>
        <w:tc>
          <w:tcPr>
            <w:tcW w:type="dxa" w:w="374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Routine activity</w:t>
            </w:r>
          </w:p>
        </w:tc>
        <w:tc>
          <w:tcPr>
            <w:tcW w:type="dxa" w:w="590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Becomes an objective when it is stated as</w:t>
            </w:r>
          </w:p>
        </w:tc>
      </w:tr>
      <w:tr>
        <w:trPr>
          <w:cantSplit w:val="true"/>
        </w:trPr>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8"/>
              </w:rPr>
              <w:t>Monitor transportation legislation</w:t>
            </w:r>
          </w:p>
        </w:tc>
        <w:tc>
          <w:tcPr>
            <w:tcW w:type="dxa" w:w="5904"/>
            <w:tcMar>
              <w:top w:w="45" w:type="dxa"/>
              <w:left w:w="80" w:type="dxa"/>
              <w:bottom w:w="45" w:type="dxa"/>
              <w:right w:w="60" w:type="dxa"/>
            </w:tcMar>
          </w:tcPr>
          <w:p>
            <w:pPr>
              <w:pStyle w:val="IGCell"/>
              <w:keepNext/>
              <w:spacing w:after="0"/>
            </w:pPr>
            <w:r>
              <w:rPr>
                <w:rFonts w:ascii="Arial" w:hAnsi="Arial" w:cs="Arial" w:eastAsia="Arial"/>
                <w:color w:val="192E43"/>
                <w:sz w:val="18"/>
              </w:rPr>
              <w:t>Enactment of a specific bill with a stated feature, or defeat or amendment of a specific bill, by a date.</w:t>
            </w:r>
          </w:p>
        </w:tc>
      </w:tr>
      <w:tr>
        <w:trPr>
          <w:cantSplit w:val="true"/>
        </w:trPr>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8"/>
              </w:rPr>
              <w:t>Attend regional council meetings</w:t>
            </w:r>
          </w:p>
        </w:tc>
        <w:tc>
          <w:tcPr>
            <w:tcW w:type="dxa" w:w="5904"/>
            <w:tcMar>
              <w:top w:w="45" w:type="dxa"/>
              <w:left w:w="80" w:type="dxa"/>
              <w:bottom w:w="45" w:type="dxa"/>
              <w:right w:w="60" w:type="dxa"/>
            </w:tcMar>
          </w:tcPr>
          <w:p>
            <w:pPr>
              <w:pStyle w:val="IGCell"/>
              <w:keepNext/>
              <w:spacing w:after="0"/>
            </w:pPr>
            <w:r>
              <w:rPr>
                <w:rFonts w:ascii="Arial" w:hAnsi="Arial" w:cs="Arial" w:eastAsia="Arial"/>
                <w:color w:val="192E43"/>
                <w:sz w:val="18"/>
              </w:rPr>
              <w:t>Regional council endorsement of a named project or position by a date.</w:t>
            </w:r>
          </w:p>
        </w:tc>
      </w:tr>
      <w:tr>
        <w:trPr>
          <w:cantSplit w:val="true"/>
        </w:trPr>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8"/>
              </w:rPr>
              <w:t>Maintain the relationship with the state agency</w:t>
            </w:r>
          </w:p>
        </w:tc>
        <w:tc>
          <w:tcPr>
            <w:tcW w:type="dxa" w:w="5904"/>
            <w:tcMar>
              <w:top w:w="45" w:type="dxa"/>
              <w:left w:w="80" w:type="dxa"/>
              <w:bottom w:w="45" w:type="dxa"/>
              <w:right w:w="60" w:type="dxa"/>
            </w:tcMar>
          </w:tcPr>
          <w:p>
            <w:pPr>
              <w:pStyle w:val="IGCell"/>
              <w:keepNext/>
              <w:spacing w:after="0"/>
            </w:pPr>
            <w:r>
              <w:rPr>
                <w:rFonts w:ascii="Arial" w:hAnsi="Arial" w:cs="Arial" w:eastAsia="Arial"/>
                <w:color w:val="192E43"/>
                <w:sz w:val="18"/>
              </w:rPr>
              <w:t>A written commitment from the agency for a named amount or action, by a date.</w:t>
            </w:r>
          </w:p>
        </w:tc>
      </w:tr>
      <w:tr>
        <w:trPr>
          <w:cantSplit w:val="true"/>
        </w:trPr>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8"/>
              </w:rPr>
              <w:t>Send the weekly legislative update</w:t>
            </w:r>
          </w:p>
        </w:tc>
        <w:tc>
          <w:tcPr>
            <w:tcW w:type="dxa" w:w="5904"/>
            <w:tcMar>
              <w:top w:w="45" w:type="dxa"/>
              <w:left w:w="80" w:type="dxa"/>
              <w:bottom w:w="45" w:type="dxa"/>
              <w:right w:w="60" w:type="dxa"/>
            </w:tcMar>
          </w:tcPr>
          <w:p>
            <w:pPr>
              <w:pStyle w:val="IGCell"/>
              <w:keepNext/>
              <w:spacing w:after="0"/>
            </w:pPr>
            <w:r>
              <w:rPr>
                <w:rFonts w:ascii="Arial" w:hAnsi="Arial" w:cs="Arial" w:eastAsia="Arial"/>
                <w:color w:val="192E43"/>
                <w:sz w:val="18"/>
              </w:rPr>
              <w:t>A written position-clearance protocol adopted by the executive, with leadership reports delivered on a set schedule.</w:t>
            </w:r>
          </w:p>
        </w:tc>
      </w:tr>
      <w:tr>
        <w:trPr>
          <w:cantSplit w:val="true"/>
        </w:trPr>
        <w:tc>
          <w:tcPr>
            <w:tcW w:type="dxa" w:w="3744"/>
            <w:tcMar>
              <w:top w:w="45" w:type="dxa"/>
              <w:left w:w="80" w:type="dxa"/>
              <w:bottom w:w="45" w:type="dxa"/>
              <w:right w:w="60" w:type="dxa"/>
            </w:tcMar>
          </w:tcPr>
          <w:p>
            <w:pPr>
              <w:pStyle w:val="IGCell"/>
              <w:spacing w:after="0"/>
            </w:pPr>
            <w:r>
              <w:rPr>
                <w:rFonts w:ascii="Arial" w:hAnsi="Arial" w:cs="Arial" w:eastAsia="Arial"/>
                <w:color w:val="192E43"/>
                <w:sz w:val="18"/>
              </w:rPr>
              <w:t>Respond to inquiries from other governments</w:t>
            </w:r>
          </w:p>
        </w:tc>
        <w:tc>
          <w:tcPr>
            <w:tcW w:type="dxa" w:w="5904"/>
            <w:tcMar>
              <w:top w:w="45" w:type="dxa"/>
              <w:left w:w="80" w:type="dxa"/>
              <w:bottom w:w="45" w:type="dxa"/>
              <w:right w:w="60" w:type="dxa"/>
            </w:tcMar>
          </w:tcPr>
          <w:p>
            <w:pPr>
              <w:pStyle w:val="IGCell"/>
              <w:spacing w:after="0"/>
            </w:pPr>
            <w:r>
              <w:rPr>
                <w:rFonts w:ascii="Arial" w:hAnsi="Arial" w:cs="Arial" w:eastAsia="Arial"/>
                <w:color w:val="192E43"/>
                <w:sz w:val="18"/>
              </w:rPr>
              <w:t>Not an objective. Track it in the Actions log and reserve capacity for it.</w:t>
            </w:r>
          </w:p>
        </w:tc>
      </w:tr>
    </w:tbl>
    <w:p>
      <w:pPr>
        <w:spacing w:after="80" w:line="144" w:lineRule="auto"/>
      </w:pPr>
    </w:p>
    <w:p>
      <w:r>
        <w:rPr>
          <w:rFonts w:ascii="Arial" w:hAnsi="Arial" w:cs="Arial" w:eastAsia="Arial"/>
        </w:rPr>
        <w:t>Reserve capacity for work no plan anticipated. A planning assumption of one quarter of staff time is a reasonable starting point. Replace it with your own measured figure after the first quarter, using the Actions log. An objective list that fills every available hour will be abandoned in the first session week.</w:t>
      </w:r>
    </w:p>
    <w:p>
      <w:r>
        <w:rPr>
          <w:rFonts w:ascii="Arial" w:hAnsi="Arial" w:cs="Arial" w:eastAsia="Arial"/>
        </w:rPr>
        <w:t>Four to seven objectives is a workable range. Outputs are not outcomes: a letter sent is an output. The letter producing a commitment is an outcome. When a draft objective names an output, ask what it is supposed to cause and write that.</w:t>
      </w: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In the example.  </w:t>
      </w:r>
      <w:r>
        <w:rPr>
          <w:rFonts w:ascii="Arial" w:hAnsi="Arial" w:cs="Arial" w:eastAsia="Arial"/>
          <w:color w:val="52606D"/>
          <w:sz w:val="17"/>
        </w:rPr>
        <w:t>Five of Eastbrook's six objectives depend on another government. OBJ-6 does not: it gives leadership one position-clearance protocol and a standing quarterly report. It qualifies because it is significant, verifiable, and changes how the office works. The protocol milestone (MS-002) was due January 22 and completed January 29. Both dates stay on the record, the milestone shows as completed late, and the objective remains On Track because the delay did not hold up the protocol's use or the reporting schedule.</w:t>
      </w:r>
    </w:p>
    <w:p>
      <w:pPr>
        <w:pStyle w:val="Heading1"/>
      </w:pPr>
      <w:r>
        <w:t>3. Managing Governmental Relationships Over Time</w:t>
      </w:r>
    </w:p>
    <w:p>
      <w:r>
        <w:rPr>
          <w:rFonts w:ascii="Arial" w:hAnsi="Arial" w:cs="Arial" w:eastAsia="Arial"/>
        </w:rPr>
        <w:t>Relationships are the one asset in this work that compounds. They are also the easiest to neglect because nothing breaks when contact lapses. The tracker makes lapses visible by calculating days since the last completed contact against the cadence you set.</w:t>
      </w:r>
    </w:p>
    <w:p>
      <w:pPr>
        <w:pStyle w:val="ListBullet"/>
        <w:keepLines/>
        <w:spacing w:after="60"/>
      </w:pPr>
      <w:r>
        <w:rPr>
          <w:rFonts w:ascii="Arial" w:hAnsi="Arial" w:cs="Arial" w:eastAsia="Arial"/>
          <w:b/>
          <w:sz w:val="20"/>
        </w:rPr>
        <w:t>One owner per relationship.</w:t>
      </w:r>
      <w:r>
        <w:rPr>
          <w:rFonts w:ascii="Arial" w:hAnsi="Arial" w:cs="Arial" w:eastAsia="Arial"/>
          <w:sz w:val="20"/>
        </w:rPr>
        <w:t xml:space="preserve"> Name a person, not the office. When an institution hears from three people, no one is accountable for what it was told.</w:t>
      </w:r>
    </w:p>
    <w:p>
      <w:pPr>
        <w:pStyle w:val="ListBullet"/>
        <w:keepLines/>
        <w:spacing w:after="60"/>
      </w:pPr>
      <w:r>
        <w:rPr>
          <w:rFonts w:ascii="Arial" w:hAnsi="Arial" w:cs="Arial" w:eastAsia="Arial"/>
          <w:b/>
          <w:sz w:val="20"/>
        </w:rPr>
        <w:t>Separate posture from health.</w:t>
      </w:r>
      <w:r>
        <w:rPr>
          <w:rFonts w:ascii="Arial" w:hAnsi="Arial" w:cs="Arial" w:eastAsia="Arial"/>
          <w:sz w:val="20"/>
        </w:rPr>
        <w:t xml:space="preserve"> Posture is where the other government stands on your agenda. Health is how well you work together. A government can oppose your bill and still return your calls. Record both, because they call for different responses.</w:t>
      </w:r>
    </w:p>
    <w:p>
      <w:pPr>
        <w:pStyle w:val="ListBullet"/>
        <w:keepLines/>
        <w:spacing w:after="60"/>
      </w:pPr>
      <w:r>
        <w:rPr>
          <w:rFonts w:ascii="Arial" w:hAnsi="Arial" w:cs="Arial" w:eastAsia="Arial"/>
          <w:b/>
          <w:sz w:val="20"/>
        </w:rPr>
        <w:t>Write what they need from you before what you need from them.</w:t>
      </w:r>
      <w:r>
        <w:rPr>
          <w:rFonts w:ascii="Arial" w:hAnsi="Arial" w:cs="Arial" w:eastAsia="Arial"/>
          <w:sz w:val="20"/>
        </w:rPr>
        <w:t xml:space="preserve"> The field is there to force the exchange into view. If you cannot say what the other side wants from the relationship, you do not yet understand it.</w:t>
      </w:r>
    </w:p>
    <w:p>
      <w:pPr>
        <w:pStyle w:val="ListBullet"/>
        <w:keepLines/>
        <w:spacing w:after="60"/>
      </w:pPr>
      <w:r>
        <w:rPr>
          <w:rFonts w:ascii="Arial" w:hAnsi="Arial" w:cs="Arial" w:eastAsia="Arial"/>
          <w:b/>
          <w:sz w:val="20"/>
        </w:rPr>
        <w:t>Log outcomes, not meetings.</w:t>
      </w:r>
      <w:r>
        <w:rPr>
          <w:rFonts w:ascii="Arial" w:hAnsi="Arial" w:cs="Arial" w:eastAsia="Arial"/>
          <w:sz w:val="20"/>
        </w:rPr>
        <w:t xml:space="preserve"> An entry that says the meeting was held tells a successor nothing. An entry that says the agency will commit match only after an executed agreement changes the plan.</w:t>
      </w:r>
    </w:p>
    <w:p>
      <w:pPr>
        <w:pStyle w:val="ListBullet"/>
        <w:keepLines/>
        <w:spacing w:after="60"/>
      </w:pPr>
      <w:r>
        <w:rPr>
          <w:rFonts w:ascii="Arial" w:hAnsi="Arial" w:cs="Arial" w:eastAsia="Arial"/>
          <w:b/>
          <w:sz w:val="20"/>
        </w:rPr>
        <w:t>Treat cadence as a floor.</w:t>
      </w:r>
      <w:r>
        <w:rPr>
          <w:rFonts w:ascii="Arial" w:hAnsi="Arial" w:cs="Arial" w:eastAsia="Arial"/>
          <w:sz w:val="20"/>
        </w:rPr>
        <w:t xml:space="preserve"> Contact only when you need something is a pattern counterparts notice. For Tier 1 and Tier 2 relationships, schedule at least one contact each quarter with no ask attached.</w:t>
      </w:r>
    </w:p>
    <w:p>
      <w:pPr>
        <w:pStyle w:val="ListBullet"/>
        <w:keepLines/>
        <w:spacing w:after="60"/>
      </w:pPr>
      <w:r>
        <w:rPr>
          <w:rFonts w:ascii="Arial" w:hAnsi="Arial" w:cs="Arial" w:eastAsia="Arial"/>
          <w:b/>
          <w:sz w:val="20"/>
        </w:rPr>
        <w:t>Record the title as well as the name.</w:t>
      </w:r>
      <w:r>
        <w:rPr>
          <w:rFonts w:ascii="Arial" w:hAnsi="Arial" w:cs="Arial" w:eastAsia="Arial"/>
          <w:sz w:val="20"/>
        </w:rPr>
        <w:t xml:space="preserve"> Counterparts move. The example records several contacts by title with names to be confirmed rather than guessing. Unknown posture is a gap to close, not a neutral setting.</w:t>
      </w:r>
    </w:p>
    <w:p>
      <w:pPr>
        <w:pStyle w:val="ListBullet"/>
        <w:keepLines/>
        <w:spacing w:after="60"/>
      </w:pPr>
      <w:r>
        <w:rPr>
          <w:rFonts w:ascii="Arial" w:hAnsi="Arial" w:cs="Arial" w:eastAsia="Arial"/>
          <w:b/>
          <w:sz w:val="20"/>
        </w:rPr>
        <w:t>Mind transitions.</w:t>
      </w:r>
      <w:r>
        <w:rPr>
          <w:rFonts w:ascii="Arial" w:hAnsi="Arial" w:cs="Arial" w:eastAsia="Arial"/>
          <w:sz w:val="20"/>
        </w:rPr>
        <w:t xml:space="preserve"> After elections and leadership changes, move the relevant relationships up a tier for a quarter and re-establish contact within the first thirty days.</w:t>
      </w: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Tribal governments.  </w:t>
      </w:r>
      <w:r>
        <w:rPr>
          <w:rFonts w:ascii="Arial" w:hAnsi="Arial" w:cs="Arial" w:eastAsia="Arial"/>
          <w:color w:val="52606D"/>
          <w:sz w:val="17"/>
        </w:rPr>
        <w:t>Tribal Nations are sovereign governments. Ask how a Nation prefers to be engaged, follow its protocol for who speaks with whom, and do not assume the cadence or channels that suit a state agency. Confirm with counsel any consultation obligations that apply to your institution. The plan should not state them from memory.</w:t>
      </w:r>
    </w:p>
    <w:p>
      <w:pPr>
        <w:pStyle w:val="Heading1"/>
      </w:pPr>
      <w:r>
        <w:t>4. Coordinating Legislative and Administrative Priorities</w:t>
      </w:r>
    </w:p>
    <w:p>
      <w:r>
        <w:rPr>
          <w:rFonts w:ascii="Arial" w:hAnsi="Arial" w:cs="Arial" w:eastAsia="Arial"/>
        </w:rPr>
        <w:t>Legislative and administrative matters run on different clocks. A legislature works to a published calendar with fixed dates. Agencies work to rulemaking schedules, grant cycles, and internal approvals that move, and the date you are given is often an estimate. Planning them on one timeline without marking which dates are fixed produces false precision.</w:t>
      </w:r>
    </w:p>
    <w:p>
      <w:pPr>
        <w:keepNext/>
      </w:pPr>
      <w:r>
        <w:rPr>
          <w:rFonts w:ascii="Arial" w:hAnsi="Arial" w:cs="Arial" w:eastAsia="Arial"/>
        </w:rPr>
        <w:t>The most common failure is an outcome in one arena undercutting another. Section 7.3 of the template is a short table for finding those interactions. Look for three patterns:</w:t>
      </w:r>
    </w:p>
    <w:p>
      <w:pPr>
        <w:pStyle w:val="ListBullet"/>
        <w:keepNext/>
        <w:keepLines/>
        <w:spacing w:after="60"/>
      </w:pPr>
      <w:r>
        <w:rPr>
          <w:rFonts w:ascii="Arial" w:hAnsi="Arial" w:cs="Arial" w:eastAsia="Arial"/>
          <w:b/>
          <w:sz w:val="20"/>
        </w:rPr>
        <w:t>Shared dependency.</w:t>
      </w:r>
      <w:r>
        <w:rPr>
          <w:rFonts w:ascii="Arial" w:hAnsi="Arial" w:cs="Arial" w:eastAsia="Arial"/>
          <w:sz w:val="20"/>
        </w:rPr>
        <w:t xml:space="preserve"> A bill provides the money an application assumes. If the bill changes, the application changes.</w:t>
      </w:r>
    </w:p>
    <w:p>
      <w:pPr>
        <w:pStyle w:val="ListBullet"/>
        <w:keepNext/>
        <w:keepLines/>
        <w:spacing w:after="60"/>
      </w:pPr>
      <w:r>
        <w:rPr>
          <w:rFonts w:ascii="Arial" w:hAnsi="Arial" w:cs="Arial" w:eastAsia="Arial"/>
          <w:b/>
          <w:sz w:val="20"/>
        </w:rPr>
        <w:t>Sequencing conflict.</w:t>
      </w:r>
      <w:r>
        <w:rPr>
          <w:rFonts w:ascii="Arial" w:hAnsi="Arial" w:cs="Arial" w:eastAsia="Arial"/>
          <w:sz w:val="20"/>
        </w:rPr>
        <w:t xml:space="preserve"> An agency requires an executed agreement before it commits funds, while the schedule has the commitment first. This looks fine inside each objective and fails across them.</w:t>
      </w:r>
    </w:p>
    <w:p>
      <w:pPr>
        <w:pStyle w:val="ListBullet"/>
        <w:keepLines/>
        <w:spacing w:after="60"/>
      </w:pPr>
      <w:r>
        <w:rPr>
          <w:rFonts w:ascii="Arial" w:hAnsi="Arial" w:cs="Arial" w:eastAsia="Arial"/>
          <w:b/>
          <w:sz w:val="20"/>
        </w:rPr>
        <w:t>Enactment without implementation.</w:t>
      </w:r>
      <w:r>
        <w:rPr>
          <w:rFonts w:ascii="Arial" w:hAnsi="Arial" w:cs="Arial" w:eastAsia="Arial"/>
          <w:sz w:val="20"/>
        </w:rPr>
        <w:t xml:space="preserve"> Winning a bill does not settle how the rule, formula, or guidance reads. Keep the administrative follow-through in the plan after the vote.</w:t>
      </w:r>
    </w:p>
    <w:p>
      <w:pPr>
        <w:pStyle w:val="ListBullet"/>
        <w:keepNext/>
        <w:keepLines/>
        <w:spacing w:after="60"/>
      </w:pPr>
      <w:r>
        <w:rPr>
          <w:rFonts w:ascii="Arial" w:hAnsi="Arial" w:cs="Arial" w:eastAsia="Arial"/>
          <w:b/>
          <w:sz w:val="20"/>
        </w:rPr>
        <w:t>One position, cleared once, used everywhere.</w:t>
      </w:r>
      <w:r>
        <w:rPr>
          <w:rFonts w:ascii="Arial" w:hAnsi="Arial" w:cs="Arial" w:eastAsia="Arial"/>
          <w:sz w:val="20"/>
        </w:rPr>
        <w:t xml:space="preserve"> Testimony, agency comments, and executive briefings should draw on the same cleared language. The Priorities sheet shows clearance status for every open item.</w:t>
      </w:r>
    </w:p>
    <w:p>
      <w:pPr>
        <w:pStyle w:val="ListBullet"/>
        <w:keepLines/>
        <w:spacing w:after="60"/>
      </w:pPr>
      <w:r>
        <w:rPr>
          <w:rFonts w:ascii="Arial" w:hAnsi="Arial" w:cs="Arial" w:eastAsia="Arial"/>
          <w:b/>
          <w:sz w:val="20"/>
        </w:rPr>
        <w:t>Expect different rules for each arena.</w:t>
      </w:r>
      <w:r>
        <w:rPr>
          <w:rFonts w:ascii="Arial" w:hAnsi="Arial" w:cs="Arial" w:eastAsia="Arial"/>
          <w:sz w:val="20"/>
        </w:rPr>
        <w:t xml:space="preserve"> Limits on advocacy, disclosure, and communication can differ between legislative and administrative settings, and by institution. Confirm them with counsel for your own jurisdiction. The toolkit assumes none.</w:t>
      </w: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In the example.  </w:t>
      </w:r>
      <w:r>
        <w:rPr>
          <w:rFonts w:ascii="Arial" w:hAnsi="Arial" w:cs="Arial" w:eastAsia="Arial"/>
          <w:color w:val="52606D"/>
          <w:sz w:val="17"/>
        </w:rPr>
        <w:t>Reading the milestones side by side showed that State DOT's match commitment (July 30) was scheduled before the interlocal agreement it depends on would be executed (August 31). No single objective owner would have seen it. The plan records the conflict and the question to put to State DOT in May.</w:t>
      </w:r>
    </w:p>
    <w:p>
      <w:pPr>
        <w:pStyle w:val="Heading1"/>
      </w:pPr>
      <w:r>
        <w:t>5. Identifying Risks and Dependencies</w:t>
      </w:r>
    </w:p>
    <w:p>
      <w:pPr>
        <w:pStyle w:val="ListBullet"/>
        <w:keepLines/>
        <w:spacing w:after="60"/>
      </w:pPr>
      <w:r>
        <w:rPr>
          <w:rFonts w:ascii="Arial" w:hAnsi="Arial" w:cs="Arial" w:eastAsia="Arial"/>
          <w:b/>
          <w:sz w:val="20"/>
        </w:rPr>
        <w:t>Write risks as cause, event, and effect.</w:t>
      </w:r>
      <w:r>
        <w:rPr>
          <w:rFonts w:ascii="Arial" w:hAnsi="Arial" w:cs="Arial" w:eastAsia="Arial"/>
          <w:sz w:val="20"/>
        </w:rPr>
        <w:t xml:space="preserve"> "Legislative risk" is a category. "SB 214 is amended to exclude bridge capital, leaving the County without a match source" is a risk.</w:t>
      </w:r>
    </w:p>
    <w:p>
      <w:pPr>
        <w:pStyle w:val="ListBullet"/>
        <w:keepLines/>
        <w:spacing w:after="60"/>
      </w:pPr>
      <w:r>
        <w:rPr>
          <w:rFonts w:ascii="Arial" w:hAnsi="Arial" w:cs="Arial" w:eastAsia="Arial"/>
          <w:b/>
          <w:sz w:val="20"/>
        </w:rPr>
        <w:t>Require an early warning indicator.</w:t>
      </w:r>
      <w:r>
        <w:rPr>
          <w:rFonts w:ascii="Arial" w:hAnsi="Arial" w:cs="Arial" w:eastAsia="Arial"/>
          <w:sz w:val="20"/>
        </w:rPr>
        <w:t xml:space="preserve"> If you cannot say what you would see first, you cannot manage the risk. Good indicators are observable: a hearing not noticed, a response not received by a date, an amendment filed.</w:t>
      </w:r>
    </w:p>
    <w:p>
      <w:pPr>
        <w:pStyle w:val="ListBullet"/>
        <w:keepLines/>
        <w:spacing w:after="60"/>
      </w:pPr>
      <w:r>
        <w:rPr>
          <w:rFonts w:ascii="Arial" w:hAnsi="Arial" w:cs="Arial" w:eastAsia="Arial"/>
          <w:b/>
          <w:sz w:val="20"/>
        </w:rPr>
        <w:t>Keep the rating coarse.</w:t>
      </w:r>
      <w:r>
        <w:rPr>
          <w:rFonts w:ascii="Arial" w:hAnsi="Arial" w:cs="Arial" w:eastAsia="Arial"/>
          <w:sz w:val="20"/>
        </w:rPr>
        <w:t xml:space="preserve"> The workbook multiplies low, moderate, and high into a rating to sort the list. Do not spend meeting time debating a 6 against a 4. Spend it on the top five.</w:t>
      </w:r>
    </w:p>
    <w:p>
      <w:pPr>
        <w:pStyle w:val="ListBullet"/>
        <w:keepLines/>
        <w:spacing w:after="60"/>
      </w:pPr>
      <w:r>
        <w:rPr>
          <w:rFonts w:ascii="Arial" w:hAnsi="Arial" w:cs="Arial" w:eastAsia="Arial"/>
          <w:b/>
          <w:sz w:val="20"/>
        </w:rPr>
        <w:t>Map dependencies across objectives.</w:t>
      </w:r>
      <w:r>
        <w:rPr>
          <w:rFonts w:ascii="Arial" w:hAnsi="Arial" w:cs="Arial" w:eastAsia="Arial"/>
          <w:sz w:val="20"/>
        </w:rPr>
        <w:t xml:space="preserve"> An objective that is On Track can still be the reason another objective is At Risk. Use the Depends On column on milestones, and list cross-objective dependencies on each objective card.</w:t>
      </w:r>
    </w:p>
    <w:p>
      <w:pPr>
        <w:pStyle w:val="ListBullet"/>
        <w:keepLines/>
        <w:spacing w:after="60"/>
      </w:pPr>
      <w:r>
        <w:rPr>
          <w:rFonts w:ascii="Arial" w:hAnsi="Arial" w:cs="Arial" w:eastAsia="Arial"/>
          <w:b/>
          <w:sz w:val="20"/>
        </w:rPr>
        <w:t>Label assumed dates as assumed.</w:t>
      </w:r>
      <w:r>
        <w:rPr>
          <w:rFonts w:ascii="Arial" w:hAnsi="Arial" w:cs="Arial" w:eastAsia="Arial"/>
          <w:sz w:val="20"/>
        </w:rPr>
        <w:t xml:space="preserve"> A federal funding notice date based on informal signals is not a fixed date. The milestone type records the difference, and the plan assumptions table records what happens if you are wrong.</w:t>
      </w:r>
    </w:p>
    <w:p>
      <w:pPr>
        <w:pStyle w:val="ListBullet"/>
        <w:keepLines/>
        <w:spacing w:after="60"/>
      </w:pPr>
      <w:r>
        <w:rPr>
          <w:rFonts w:ascii="Arial" w:hAnsi="Arial" w:cs="Arial" w:eastAsia="Arial"/>
          <w:b/>
          <w:sz w:val="20"/>
        </w:rPr>
        <w:t>Set escalation triggers before you need them.</w:t>
      </w:r>
      <w:r>
        <w:rPr>
          <w:rFonts w:ascii="Arial" w:hAnsi="Arial" w:cs="Arial" w:eastAsia="Arial"/>
          <w:sz w:val="20"/>
        </w:rPr>
        <w:t xml:space="preserve"> Agree in advance which conditions go to the executive sponsor, how fast, and in what form. Then no one has to decide in the moment whether a problem is large enough to raise.</w:t>
      </w:r>
    </w:p>
    <w:p>
      <w:pPr>
        <w:pStyle w:val="ListBullet"/>
        <w:keepLines/>
        <w:spacing w:after="60"/>
      </w:pPr>
      <w:r>
        <w:rPr>
          <w:rFonts w:ascii="Arial" w:hAnsi="Arial" w:cs="Arial" w:eastAsia="Arial"/>
          <w:b/>
          <w:sz w:val="20"/>
        </w:rPr>
        <w:t>Escalate with a decision attached.</w:t>
      </w:r>
      <w:r>
        <w:rPr>
          <w:rFonts w:ascii="Arial" w:hAnsi="Arial" w:cs="Arial" w:eastAsia="Arial"/>
          <w:sz w:val="20"/>
        </w:rPr>
        <w:t xml:space="preserve"> A request that names the decision and the date you need it can be answered. A request that only describes the problem is a status update.</w:t>
      </w:r>
    </w:p>
    <w:p>
      <w:pPr>
        <w:pStyle w:val="Heading1"/>
      </w:pPr>
      <w:r>
        <w:t>6. Reporting Meaningful Outcomes</w:t>
      </w:r>
    </w:p>
    <w:p>
      <w:r>
        <w:rPr>
          <w:rFonts w:ascii="Arial" w:hAnsi="Arial" w:cs="Arial" w:eastAsia="Arial"/>
        </w:rPr>
        <w:t>Executives read reports to find what they must decide. Build the report around that.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168"/>
        <w:gridCol w:w="3456"/>
        <w:gridCol w:w="3024"/>
      </w:tblGrid>
      <w:tr>
        <w:trPr>
          <w:tblHeader w:val="true"/>
          <w:cantSplit w:val="true"/>
        </w:trPr>
        <w:tc>
          <w:tcPr>
            <w:tcW w:type="dxa" w:w="3168"/>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Lead with</w:t>
            </w:r>
          </w:p>
        </w:tc>
        <w:tc>
          <w:tcPr>
            <w:tcW w:type="dxa" w:w="3456"/>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Then</w:t>
            </w:r>
          </w:p>
        </w:tc>
        <w:tc>
          <w:tcPr>
            <w:tcW w:type="dxa" w:w="302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Attach</w:t>
            </w:r>
          </w:p>
        </w:tc>
      </w:tr>
      <w:tr>
        <w:trPr>
          <w:cantSplit w:val="true"/>
        </w:trPr>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8"/>
              </w:rPr>
              <w:t>Status of each objective and what changed since last quarter</w:t>
            </w:r>
          </w:p>
        </w:tc>
        <w:tc>
          <w:tcPr>
            <w:tcW w:type="dxa" w:w="3456"/>
            <w:tcMar>
              <w:top w:w="45" w:type="dxa"/>
              <w:left w:w="80" w:type="dxa"/>
              <w:bottom w:w="45" w:type="dxa"/>
              <w:right w:w="60" w:type="dxa"/>
            </w:tcMar>
          </w:tcPr>
          <w:p>
            <w:pPr>
              <w:pStyle w:val="IGCell"/>
              <w:keepNext/>
              <w:spacing w:after="0"/>
            </w:pPr>
            <w:r>
              <w:rPr>
                <w:rFonts w:ascii="Arial" w:hAnsi="Arial" w:cs="Arial" w:eastAsia="Arial"/>
                <w:color w:val="192E43"/>
                <w:sz w:val="18"/>
              </w:rPr>
              <w:t>Decisions needed, with dates</w:t>
            </w:r>
          </w:p>
        </w:tc>
        <w:tc>
          <w:tcPr>
            <w:tcW w:type="dxa" w:w="3024"/>
            <w:tcMar>
              <w:top w:w="45" w:type="dxa"/>
              <w:left w:w="80" w:type="dxa"/>
              <w:bottom w:w="45" w:type="dxa"/>
              <w:right w:w="60" w:type="dxa"/>
            </w:tcMar>
          </w:tcPr>
          <w:p>
            <w:pPr>
              <w:pStyle w:val="IGCell"/>
              <w:keepNext/>
              <w:spacing w:after="0"/>
            </w:pPr>
            <w:r>
              <w:rPr>
                <w:rFonts w:ascii="Arial" w:hAnsi="Arial" w:cs="Arial" w:eastAsia="Arial"/>
                <w:color w:val="192E43"/>
                <w:sz w:val="18"/>
              </w:rPr>
              <w:t>Dashboard and the data checks</w:t>
            </w:r>
          </w:p>
        </w:tc>
      </w:tr>
      <w:tr>
        <w:trPr>
          <w:cantSplit w:val="true"/>
        </w:trPr>
        <w:tc>
          <w:tcPr>
            <w:tcW w:type="dxa" w:w="3168"/>
            <w:tcMar>
              <w:top w:w="45" w:type="dxa"/>
              <w:left w:w="80" w:type="dxa"/>
              <w:bottom w:w="45" w:type="dxa"/>
              <w:right w:w="60" w:type="dxa"/>
            </w:tcMar>
          </w:tcPr>
          <w:p>
            <w:pPr>
              <w:pStyle w:val="IGCell"/>
              <w:spacing w:after="0"/>
            </w:pPr>
            <w:r>
              <w:rPr>
                <w:rFonts w:ascii="Arial" w:hAnsi="Arial" w:cs="Arial" w:eastAsia="Arial"/>
                <w:color w:val="192E43"/>
                <w:sz w:val="18"/>
              </w:rPr>
              <w:t>Evidence for each status: the event or document that supports it</w:t>
            </w:r>
          </w:p>
        </w:tc>
        <w:tc>
          <w:tcPr>
            <w:tcW w:type="dxa" w:w="3456"/>
            <w:tcMar>
              <w:top w:w="45" w:type="dxa"/>
              <w:left w:w="80" w:type="dxa"/>
              <w:bottom w:w="45" w:type="dxa"/>
              <w:right w:w="60" w:type="dxa"/>
            </w:tcMar>
          </w:tcPr>
          <w:p>
            <w:pPr>
              <w:pStyle w:val="IGCell"/>
              <w:spacing w:after="0"/>
            </w:pPr>
            <w:r>
              <w:rPr>
                <w:rFonts w:ascii="Arial" w:hAnsi="Arial" w:cs="Arial" w:eastAsia="Arial"/>
                <w:color w:val="192E43"/>
                <w:sz w:val="18"/>
              </w:rPr>
              <w:t>Risks that rose and escalations still open</w:t>
            </w:r>
          </w:p>
        </w:tc>
        <w:tc>
          <w:tcPr>
            <w:tcW w:type="dxa" w:w="3024"/>
            <w:tcMar>
              <w:top w:w="45" w:type="dxa"/>
              <w:left w:w="80" w:type="dxa"/>
              <w:bottom w:w="45" w:type="dxa"/>
              <w:right w:w="60" w:type="dxa"/>
            </w:tcMar>
          </w:tcPr>
          <w:p>
            <w:pPr>
              <w:pStyle w:val="IGCell"/>
              <w:spacing w:after="0"/>
            </w:pPr>
            <w:r>
              <w:rPr>
                <w:rFonts w:ascii="Arial" w:hAnsi="Arial" w:cs="Arial" w:eastAsia="Arial"/>
                <w:color w:val="192E43"/>
                <w:sz w:val="18"/>
              </w:rPr>
              <w:t>Updated milestone list</w:t>
            </w:r>
          </w:p>
        </w:tc>
      </w:tr>
    </w:tbl>
    <w:p>
      <w:pPr>
        <w:spacing w:after="80" w:line="144" w:lineRule="auto"/>
      </w:pPr>
    </w:p>
    <w:p>
      <w:pPr>
        <w:pStyle w:val="ListBullet"/>
        <w:keepNext/>
        <w:keepLines/>
        <w:spacing w:after="60"/>
      </w:pPr>
      <w:r>
        <w:rPr>
          <w:rFonts w:ascii="Arial" w:hAnsi="Arial" w:cs="Arial" w:eastAsia="Arial"/>
          <w:b/>
          <w:sz w:val="20"/>
        </w:rPr>
        <w:t>Report outcomes, not counts.</w:t>
      </w:r>
      <w:r>
        <w:rPr>
          <w:rFonts w:ascii="Arial" w:hAnsi="Arial" w:cs="Arial" w:eastAsia="Arial"/>
          <w:sz w:val="20"/>
        </w:rPr>
        <w:t xml:space="preserve"> Twenty-seven meetings is activity. A State DOT statement that it will commit match only after an executed agreement is a finding. Activity counts are useful as context.</w:t>
      </w:r>
    </w:p>
    <w:p>
      <w:pPr>
        <w:pStyle w:val="ListBullet"/>
        <w:keepNext/>
        <w:keepLines/>
        <w:spacing w:after="60"/>
      </w:pPr>
      <w:r>
        <w:rPr>
          <w:rFonts w:ascii="Arial" w:hAnsi="Arial" w:cs="Arial" w:eastAsia="Arial"/>
          <w:b/>
          <w:sz w:val="20"/>
        </w:rPr>
        <w:t>Do not paint status green early.</w:t>
      </w:r>
      <w:r>
        <w:rPr>
          <w:rFonts w:ascii="Arial" w:hAnsi="Arial" w:cs="Arial" w:eastAsia="Arial"/>
          <w:sz w:val="20"/>
        </w:rPr>
        <w:t xml:space="preserve"> Status that moves from green straight to red tells leadership your earlier reports were not reliable. At Risk exists so you can say a problem is forming while there is still time to act.</w:t>
      </w:r>
    </w:p>
    <w:p>
      <w:pPr>
        <w:pStyle w:val="ListBullet"/>
        <w:keepNext/>
        <w:keepLines/>
        <w:spacing w:after="60"/>
      </w:pPr>
      <w:r>
        <w:rPr>
          <w:rFonts w:ascii="Arial" w:hAnsi="Arial" w:cs="Arial" w:eastAsia="Arial"/>
          <w:b/>
          <w:sz w:val="20"/>
        </w:rPr>
        <w:t>Know what percent complete means.</w:t>
      </w:r>
      <w:r>
        <w:rPr>
          <w:rFonts w:ascii="Arial" w:hAnsi="Arial" w:cs="Arial" w:eastAsia="Arial"/>
          <w:sz w:val="20"/>
        </w:rPr>
        <w:t xml:space="preserve"> It counts completed milestones. It shows schedule progress, not whether the outcome will occur. An objective at 63 percent can be On Track and one at 0 percent can be At Risk, and neither number means much without the status and evidence.</w:t>
      </w:r>
    </w:p>
    <w:p>
      <w:pPr>
        <w:pStyle w:val="ListBullet"/>
        <w:keepNext/>
        <w:keepLines/>
        <w:spacing w:after="60"/>
      </w:pPr>
      <w:r>
        <w:rPr>
          <w:rFonts w:ascii="Arial" w:hAnsi="Arial" w:cs="Arial" w:eastAsia="Arial"/>
          <w:b/>
          <w:sz w:val="20"/>
        </w:rPr>
        <w:t>Report an Off Track objective plainly, with its cause.</w:t>
      </w:r>
      <w:r>
        <w:rPr>
          <w:rFonts w:ascii="Arial" w:hAnsi="Arial" w:cs="Arial" w:eastAsia="Arial"/>
          <w:sz w:val="20"/>
        </w:rPr>
        <w:t xml:space="preserve"> If the cause is a pending leadership signature, say so. That converts a staff problem into a decision.</w:t>
      </w:r>
    </w:p>
    <w:p>
      <w:pPr>
        <w:pStyle w:val="ListBullet"/>
        <w:keepLines/>
        <w:spacing w:after="60"/>
      </w:pPr>
      <w:r>
        <w:rPr>
          <w:rFonts w:ascii="Arial" w:hAnsi="Arial" w:cs="Arial" w:eastAsia="Arial"/>
          <w:b/>
          <w:sz w:val="20"/>
        </w:rPr>
        <w:t>Run the data checks before you send.</w:t>
      </w:r>
      <w:r>
        <w:rPr>
          <w:rFonts w:ascii="Arial" w:hAnsi="Arial" w:cs="Arial" w:eastAsia="Arial"/>
          <w:sz w:val="20"/>
        </w:rPr>
        <w:t xml:space="preserve"> The dashboard lists objectives without milestones, open items without owners, and status that disagrees with the last review. A report with those flags clear is easier to defend.</w:t>
      </w:r>
    </w:p>
    <w:p>
      <w:pPr>
        <w:pStyle w:val="Heading1"/>
      </w:pPr>
      <w:r>
        <w:t>7. Adjusting Strategy When Circumstances Change</w:t>
      </w:r>
    </w:p>
    <w:p>
      <w:r>
        <w:rPr>
          <w:rFonts w:ascii="Arial" w:hAnsi="Arial" w:cs="Arial" w:eastAsia="Arial"/>
        </w:rPr>
        <w:t>Plans change. The discipline is to change them deliberately and on the record, so that the next review compares against what leadership approved rather than against what the office now wishes it had planned.</w:t>
      </w:r>
    </w:p>
    <w:p>
      <w:pPr>
        <w:pStyle w:val="ListBullet"/>
        <w:keepNext/>
        <w:keepLines/>
        <w:spacing w:after="60"/>
      </w:pPr>
      <w:r>
        <w:rPr>
          <w:rFonts w:ascii="Arial" w:hAnsi="Arial" w:cs="Arial" w:eastAsia="Arial"/>
          <w:b/>
          <w:sz w:val="20"/>
        </w:rPr>
        <w:t>Know your triggers.</w:t>
      </w:r>
      <w:r>
        <w:rPr>
          <w:rFonts w:ascii="Arial" w:hAnsi="Arial" w:cs="Arial" w:eastAsia="Arial"/>
          <w:sz w:val="20"/>
        </w:rPr>
        <w:t xml:space="preserve"> A fixed date moves. A partner withdraws or changes position. Leadership changes direction. A new bill appears. Funding changes. A result occurs, favorable or not. After a session ends or an election occurs, hold an unscheduled review within two weeks.</w:t>
      </w:r>
    </w:p>
    <w:p>
      <w:pPr>
        <w:pStyle w:val="ListBullet"/>
        <w:keepNext/>
        <w:keepLines/>
        <w:spacing w:after="60"/>
      </w:pPr>
      <w:r>
        <w:rPr>
          <w:rFonts w:ascii="Arial" w:hAnsi="Arial" w:cs="Arial" w:eastAsia="Arial"/>
          <w:b/>
          <w:sz w:val="20"/>
        </w:rPr>
        <w:t>Check assumptions first.</w:t>
      </w:r>
      <w:r>
        <w:rPr>
          <w:rFonts w:ascii="Arial" w:hAnsi="Arial" w:cs="Arial" w:eastAsia="Arial"/>
          <w:sz w:val="20"/>
        </w:rPr>
        <w:t xml:space="preserve"> The plan assumptions table says what changes if each one is wrong. Start there before rewriting objectives.</w:t>
      </w:r>
    </w:p>
    <w:p>
      <w:pPr>
        <w:pStyle w:val="ListBullet"/>
        <w:keepNext/>
        <w:keepLines/>
        <w:spacing w:after="60"/>
      </w:pPr>
      <w:r>
        <w:rPr>
          <w:rFonts w:ascii="Arial" w:hAnsi="Arial" w:cs="Arial" w:eastAsia="Arial"/>
          <w:b/>
          <w:sz w:val="20"/>
        </w:rPr>
        <w:t>Choose the smallest change that works.</w:t>
      </w:r>
      <w:r>
        <w:rPr>
          <w:rFonts w:ascii="Arial" w:hAnsi="Arial" w:cs="Arial" w:eastAsia="Arial"/>
          <w:sz w:val="20"/>
        </w:rPr>
        <w:t xml:space="preserve"> Re-sequence a milestone. Re-scope an objective. Defer it by a leadership decision. Drop it. Each is different, and each belongs in the adjustment log with a reason and an approver.</w:t>
      </w:r>
    </w:p>
    <w:p>
      <w:pPr>
        <w:pStyle w:val="ListBullet"/>
        <w:keepNext/>
        <w:keepLines/>
        <w:spacing w:after="60"/>
      </w:pPr>
      <w:r>
        <w:rPr>
          <w:rFonts w:ascii="Arial" w:hAnsi="Arial" w:cs="Arial" w:eastAsia="Arial"/>
          <w:b/>
          <w:sz w:val="20"/>
        </w:rPr>
        <w:t>When you add, say what yields.</w:t>
      </w:r>
      <w:r>
        <w:rPr>
          <w:rFonts w:ascii="Arial" w:hAnsi="Arial" w:cs="Arial" w:eastAsia="Arial"/>
          <w:sz w:val="20"/>
        </w:rPr>
        <w:t xml:space="preserve"> A new priority in the middle of session displaces something. Name it, and take the trade to the executive sponsor.</w:t>
      </w:r>
    </w:p>
    <w:p>
      <w:pPr>
        <w:pStyle w:val="ListBullet"/>
        <w:keepNext/>
        <w:keepLines/>
        <w:spacing w:after="60"/>
      </w:pPr>
      <w:r>
        <w:rPr>
          <w:rFonts w:ascii="Arial" w:hAnsi="Arial" w:cs="Arial" w:eastAsia="Arial"/>
          <w:b/>
          <w:sz w:val="20"/>
        </w:rPr>
        <w:t>Keep the original dates visible.</w:t>
      </w:r>
      <w:r>
        <w:rPr>
          <w:rFonts w:ascii="Arial" w:hAnsi="Arial" w:cs="Arial" w:eastAsia="Arial"/>
          <w:sz w:val="20"/>
        </w:rPr>
        <w:t xml:space="preserve"> Record a moved date in Revised Due Date, not by overwriting the original. The tracker then calculates slip days and still shows what leadership first approved.</w:t>
      </w:r>
    </w:p>
    <w:p>
      <w:pPr>
        <w:pStyle w:val="ListBullet"/>
        <w:keepLines/>
        <w:spacing w:after="60"/>
      </w:pPr>
      <w:r>
        <w:rPr>
          <w:rFonts w:ascii="Arial" w:hAnsi="Arial" w:cs="Arial" w:eastAsia="Arial"/>
          <w:b/>
          <w:sz w:val="20"/>
        </w:rPr>
        <w:t>Update the plan and the tracker together.</w:t>
      </w:r>
      <w:r>
        <w:rPr>
          <w:rFonts w:ascii="Arial" w:hAnsi="Arial" w:cs="Arial" w:eastAsia="Arial"/>
          <w:sz w:val="20"/>
        </w:rPr>
        <w:t xml:space="preserve"> If one says a milestone moved and the other does not, the record disagrees and the next report will be challenged.</w:t>
      </w: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In the example.  </w:t>
      </w:r>
      <w:r>
        <w:rPr>
          <w:rFonts w:ascii="Arial" w:hAnsi="Arial" w:cs="Arial" w:eastAsia="Arial"/>
          <w:color w:val="52606D"/>
          <w:sz w:val="17"/>
        </w:rPr>
        <w:t>At the first quarterly review the Eastbrook office moved the term sheet date by two weeks, kept the execution date because governing body calendars left two meeting cycles of margin, added HB 530 as a tracked priority, and recorded each change with an approver. The plan changed in four places and none of the original dates was lost.</w:t>
      </w:r>
    </w:p>
    <w:p>
      <w:pPr>
        <w:pStyle w:val="Heading1"/>
      </w:pPr>
      <w:r>
        <w:t>8. Adapting the Toolkit</w:t>
      </w:r>
    </w:p>
    <w:p>
      <w:pPr>
        <w:pStyle w:val="Heading2"/>
      </w:pPr>
      <w:r>
        <w:t>Smaller and larger offices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872"/>
        <w:gridCol w:w="3744"/>
        <w:gridCol w:w="4031"/>
      </w:tblGrid>
      <w:tr>
        <w:trPr>
          <w:tblHeader w:val="true"/>
          <w:cantSplit w:val="true"/>
        </w:trPr>
        <w:tc>
          <w:tcPr>
            <w:tcW w:type="dxa" w:w="1872"/>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Element</w:t>
            </w:r>
          </w:p>
        </w:tc>
        <w:tc>
          <w:tcPr>
            <w:tcW w:type="dxa" w:w="374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Office of one to three</w:t>
            </w:r>
          </w:p>
        </w:tc>
        <w:tc>
          <w:tcPr>
            <w:tcW w:type="dxa" w:w="4032"/>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Larger team</w:t>
            </w:r>
          </w:p>
        </w:tc>
      </w:tr>
      <w:tr>
        <w:trPr>
          <w:cantSplit w:val="true"/>
        </w:trPr>
        <w:tc>
          <w:tcPr>
            <w:tcW w:type="dxa" w:w="1872"/>
            <w:tcMar>
              <w:top w:w="45" w:type="dxa"/>
              <w:left w:w="80" w:type="dxa"/>
              <w:bottom w:w="45" w:type="dxa"/>
              <w:right w:w="60" w:type="dxa"/>
            </w:tcMar>
          </w:tcPr>
          <w:p>
            <w:pPr>
              <w:pStyle w:val="IGCell"/>
              <w:keepNext/>
              <w:spacing w:after="0"/>
            </w:pPr>
            <w:r>
              <w:rPr>
                <w:rFonts w:ascii="Arial" w:hAnsi="Arial" w:cs="Arial" w:eastAsia="Arial"/>
                <w:b/>
                <w:color w:val="192E43"/>
                <w:sz w:val="17"/>
              </w:rPr>
              <w:t>Plan length</w:t>
            </w:r>
          </w:p>
        </w:tc>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7"/>
              </w:rPr>
              <w:t>Combine sections 1 and 2 in half a page. Skip 4.2. Four or five objectives.</w:t>
            </w:r>
          </w:p>
        </w:tc>
        <w:tc>
          <w:tcPr>
            <w:tcW w:type="dxa" w:w="4032"/>
            <w:tcMar>
              <w:top w:w="45" w:type="dxa"/>
              <w:left w:w="80" w:type="dxa"/>
              <w:bottom w:w="45" w:type="dxa"/>
              <w:right w:w="60" w:type="dxa"/>
            </w:tcMar>
          </w:tcPr>
          <w:p>
            <w:pPr>
              <w:pStyle w:val="IGCell"/>
              <w:keepNext/>
              <w:spacing w:after="0"/>
            </w:pPr>
            <w:r>
              <w:rPr>
                <w:rFonts w:ascii="Arial" w:hAnsi="Arial" w:cs="Arial" w:eastAsia="Arial"/>
                <w:color w:val="192E43"/>
                <w:sz w:val="17"/>
              </w:rPr>
              <w:t>Complete every section. Add team-level objectives that roll up to the office objectives.</w:t>
            </w:r>
          </w:p>
        </w:tc>
      </w:tr>
      <w:tr>
        <w:trPr>
          <w:cantSplit w:val="true"/>
        </w:trPr>
        <w:tc>
          <w:tcPr>
            <w:tcW w:type="dxa" w:w="1872"/>
            <w:tcMar>
              <w:top w:w="45" w:type="dxa"/>
              <w:left w:w="80" w:type="dxa"/>
              <w:bottom w:w="45" w:type="dxa"/>
              <w:right w:w="60" w:type="dxa"/>
            </w:tcMar>
          </w:tcPr>
          <w:p>
            <w:pPr>
              <w:pStyle w:val="IGCell"/>
              <w:keepNext/>
              <w:spacing w:after="0"/>
            </w:pPr>
            <w:r>
              <w:rPr>
                <w:rFonts w:ascii="Arial" w:hAnsi="Arial" w:cs="Arial" w:eastAsia="Arial"/>
                <w:b/>
                <w:color w:val="192E43"/>
                <w:sz w:val="17"/>
              </w:rPr>
              <w:t>Tracker</w:t>
            </w:r>
          </w:p>
        </w:tc>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7"/>
              </w:rPr>
              <w:t>One tracker. Delete unused sheets only if no formulas refer to them. Otherwise leave them empty.</w:t>
            </w:r>
          </w:p>
        </w:tc>
        <w:tc>
          <w:tcPr>
            <w:tcW w:type="dxa" w:w="4032"/>
            <w:tcMar>
              <w:top w:w="45" w:type="dxa"/>
              <w:left w:w="80" w:type="dxa"/>
              <w:bottom w:w="45" w:type="dxa"/>
              <w:right w:w="60" w:type="dxa"/>
            </w:tcMar>
          </w:tcPr>
          <w:p>
            <w:pPr>
              <w:pStyle w:val="IGCell"/>
              <w:keepNext/>
              <w:spacing w:after="0"/>
            </w:pPr>
            <w:r>
              <w:rPr>
                <w:rFonts w:ascii="Arial" w:hAnsi="Arial" w:cs="Arial" w:eastAsia="Arial"/>
                <w:color w:val="192E43"/>
                <w:sz w:val="17"/>
              </w:rPr>
              <w:t>One tracker with a column added for team or unit. Added columns do not disturb the dashboard formulas. Filter by lead for team meetings.</w:t>
            </w:r>
          </w:p>
        </w:tc>
      </w:tr>
      <w:tr>
        <w:trPr>
          <w:cantSplit w:val="true"/>
        </w:trPr>
        <w:tc>
          <w:tcPr>
            <w:tcW w:type="dxa" w:w="1872"/>
            <w:tcMar>
              <w:top w:w="45" w:type="dxa"/>
              <w:left w:w="80" w:type="dxa"/>
              <w:bottom w:w="45" w:type="dxa"/>
              <w:right w:w="60" w:type="dxa"/>
            </w:tcMar>
          </w:tcPr>
          <w:p>
            <w:pPr>
              <w:pStyle w:val="IGCell"/>
              <w:keepNext/>
              <w:spacing w:after="0"/>
            </w:pPr>
            <w:r>
              <w:rPr>
                <w:rFonts w:ascii="Arial" w:hAnsi="Arial" w:cs="Arial" w:eastAsia="Arial"/>
                <w:b/>
                <w:color w:val="192E43"/>
                <w:sz w:val="17"/>
              </w:rPr>
              <w:t>Relationships</w:t>
            </w:r>
          </w:p>
        </w:tc>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7"/>
              </w:rPr>
              <w:t>Keep Tier 1 to the number you can contact monthly. Hold the rest at Tier 3 or 4.</w:t>
            </w:r>
          </w:p>
        </w:tc>
        <w:tc>
          <w:tcPr>
            <w:tcW w:type="dxa" w:w="4032"/>
            <w:tcMar>
              <w:top w:w="45" w:type="dxa"/>
              <w:left w:w="80" w:type="dxa"/>
              <w:bottom w:w="45" w:type="dxa"/>
              <w:right w:w="60" w:type="dxa"/>
            </w:tcMar>
          </w:tcPr>
          <w:p>
            <w:pPr>
              <w:pStyle w:val="IGCell"/>
              <w:keepNext/>
              <w:spacing w:after="0"/>
            </w:pPr>
            <w:r>
              <w:rPr>
                <w:rFonts w:ascii="Arial" w:hAnsi="Arial" w:cs="Arial" w:eastAsia="Arial"/>
                <w:color w:val="192E43"/>
                <w:sz w:val="17"/>
              </w:rPr>
              <w:t>Assign leads by institution, and name a backup for every Tier 1 relationship.</w:t>
            </w:r>
          </w:p>
        </w:tc>
      </w:tr>
      <w:tr>
        <w:trPr>
          <w:cantSplit w:val="true"/>
        </w:trPr>
        <w:tc>
          <w:tcPr>
            <w:tcW w:type="dxa" w:w="1872"/>
            <w:tcMar>
              <w:top w:w="45" w:type="dxa"/>
              <w:left w:w="80" w:type="dxa"/>
              <w:bottom w:w="45" w:type="dxa"/>
              <w:right w:w="60" w:type="dxa"/>
            </w:tcMar>
          </w:tcPr>
          <w:p>
            <w:pPr>
              <w:pStyle w:val="IGCell"/>
              <w:keepNext/>
              <w:spacing w:after="0"/>
            </w:pPr>
            <w:r>
              <w:rPr>
                <w:rFonts w:ascii="Arial" w:hAnsi="Arial" w:cs="Arial" w:eastAsia="Arial"/>
                <w:b/>
                <w:color w:val="192E43"/>
                <w:sz w:val="17"/>
              </w:rPr>
              <w:t>Clearance</w:t>
            </w:r>
          </w:p>
        </w:tc>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7"/>
              </w:rPr>
              <w:t>One executive decides. Record the date cleared.</w:t>
            </w:r>
          </w:p>
        </w:tc>
        <w:tc>
          <w:tcPr>
            <w:tcW w:type="dxa" w:w="4032"/>
            <w:tcMar>
              <w:top w:w="45" w:type="dxa"/>
              <w:left w:w="80" w:type="dxa"/>
              <w:bottom w:w="45" w:type="dxa"/>
              <w:right w:w="60" w:type="dxa"/>
            </w:tcMar>
          </w:tcPr>
          <w:p>
            <w:pPr>
              <w:pStyle w:val="IGCell"/>
              <w:keepNext/>
              <w:spacing w:after="0"/>
            </w:pPr>
            <w:r>
              <w:rPr>
                <w:rFonts w:ascii="Arial" w:hAnsi="Arial" w:cs="Arial" w:eastAsia="Arial"/>
                <w:color w:val="192E43"/>
                <w:sz w:val="17"/>
              </w:rPr>
              <w:t>A written path with counsel review and a standard turnaround.</w:t>
            </w:r>
          </w:p>
        </w:tc>
      </w:tr>
      <w:tr>
        <w:trPr>
          <w:cantSplit w:val="true"/>
        </w:trPr>
        <w:tc>
          <w:tcPr>
            <w:tcW w:type="dxa" w:w="1872"/>
            <w:tcMar>
              <w:top w:w="45" w:type="dxa"/>
              <w:left w:w="80" w:type="dxa"/>
              <w:bottom w:w="45" w:type="dxa"/>
              <w:right w:w="60" w:type="dxa"/>
            </w:tcMar>
          </w:tcPr>
          <w:p>
            <w:pPr>
              <w:pStyle w:val="IGCell"/>
              <w:keepNext/>
              <w:spacing w:after="0"/>
            </w:pPr>
            <w:r>
              <w:rPr>
                <w:rFonts w:ascii="Arial" w:hAnsi="Arial" w:cs="Arial" w:eastAsia="Arial"/>
                <w:b/>
                <w:color w:val="192E43"/>
                <w:sz w:val="17"/>
              </w:rPr>
              <w:t>Review rhythm</w:t>
            </w:r>
          </w:p>
        </w:tc>
        <w:tc>
          <w:tcPr>
            <w:tcW w:type="dxa" w:w="3744"/>
            <w:tcMar>
              <w:top w:w="45" w:type="dxa"/>
              <w:left w:w="80" w:type="dxa"/>
              <w:bottom w:w="45" w:type="dxa"/>
              <w:right w:w="60" w:type="dxa"/>
            </w:tcMar>
          </w:tcPr>
          <w:p>
            <w:pPr>
              <w:pStyle w:val="IGCell"/>
              <w:keepNext/>
              <w:spacing w:after="0"/>
            </w:pPr>
            <w:r>
              <w:rPr>
                <w:rFonts w:ascii="Arial" w:hAnsi="Arial" w:cs="Arial" w:eastAsia="Arial"/>
                <w:color w:val="192E43"/>
                <w:sz w:val="17"/>
              </w:rPr>
              <w:t>A 30-minute monthly check and a quarterly review.</w:t>
            </w:r>
          </w:p>
        </w:tc>
        <w:tc>
          <w:tcPr>
            <w:tcW w:type="dxa" w:w="4032"/>
            <w:tcMar>
              <w:top w:w="45" w:type="dxa"/>
              <w:left w:w="80" w:type="dxa"/>
              <w:bottom w:w="45" w:type="dxa"/>
              <w:right w:w="60" w:type="dxa"/>
            </w:tcMar>
          </w:tcPr>
          <w:p>
            <w:pPr>
              <w:pStyle w:val="IGCell"/>
              <w:keepNext/>
              <w:spacing w:after="0"/>
            </w:pPr>
            <w:r>
              <w:rPr>
                <w:rFonts w:ascii="Arial" w:hAnsi="Arial" w:cs="Arial" w:eastAsia="Arial"/>
                <w:color w:val="192E43"/>
                <w:sz w:val="17"/>
              </w:rPr>
              <w:t>Team leads monthly. Director and sponsor quarterly.</w:t>
            </w:r>
          </w:p>
        </w:tc>
      </w:tr>
      <w:tr>
        <w:trPr>
          <w:cantSplit w:val="true"/>
        </w:trPr>
        <w:tc>
          <w:tcPr>
            <w:tcW w:type="dxa" w:w="1872"/>
            <w:tcMar>
              <w:top w:w="45" w:type="dxa"/>
              <w:left w:w="80" w:type="dxa"/>
              <w:bottom w:w="45" w:type="dxa"/>
              <w:right w:w="60" w:type="dxa"/>
            </w:tcMar>
          </w:tcPr>
          <w:p>
            <w:pPr>
              <w:pStyle w:val="IGCell"/>
              <w:spacing w:after="0"/>
            </w:pPr>
            <w:r>
              <w:rPr>
                <w:rFonts w:ascii="Arial" w:hAnsi="Arial" w:cs="Arial" w:eastAsia="Arial"/>
                <w:b/>
                <w:color w:val="192E43"/>
                <w:sz w:val="17"/>
              </w:rPr>
              <w:t>Reporting</w:t>
            </w:r>
          </w:p>
        </w:tc>
        <w:tc>
          <w:tcPr>
            <w:tcW w:type="dxa" w:w="3744"/>
            <w:tcMar>
              <w:top w:w="45" w:type="dxa"/>
              <w:left w:w="80" w:type="dxa"/>
              <w:bottom w:w="45" w:type="dxa"/>
              <w:right w:w="60" w:type="dxa"/>
            </w:tcMar>
          </w:tcPr>
          <w:p>
            <w:pPr>
              <w:pStyle w:val="IGCell"/>
              <w:spacing w:after="0"/>
            </w:pPr>
            <w:r>
              <w:rPr>
                <w:rFonts w:ascii="Arial" w:hAnsi="Arial" w:cs="Arial" w:eastAsia="Arial"/>
                <w:color w:val="192E43"/>
                <w:sz w:val="17"/>
              </w:rPr>
              <w:t>One page each quarter plus the dashboard.</w:t>
            </w:r>
          </w:p>
        </w:tc>
        <w:tc>
          <w:tcPr>
            <w:tcW w:type="dxa" w:w="4032"/>
            <w:tcMar>
              <w:top w:w="45" w:type="dxa"/>
              <w:left w:w="80" w:type="dxa"/>
              <w:bottom w:w="45" w:type="dxa"/>
              <w:right w:w="60" w:type="dxa"/>
            </w:tcMar>
          </w:tcPr>
          <w:p>
            <w:pPr>
              <w:pStyle w:val="IGCell"/>
              <w:spacing w:after="0"/>
            </w:pPr>
            <w:r>
              <w:rPr>
                <w:rFonts w:ascii="Arial" w:hAnsi="Arial" w:cs="Arial" w:eastAsia="Arial"/>
                <w:color w:val="192E43"/>
                <w:sz w:val="17"/>
              </w:rPr>
              <w:t>A team page for each lead, rolled into one executive page.</w:t>
            </w:r>
          </w:p>
        </w:tc>
      </w:tr>
    </w:tbl>
    <w:p>
      <w:pPr>
        <w:spacing w:after="80" w:line="144" w:lineRule="auto"/>
      </w:pPr>
    </w:p>
    <w:p>
      <w:pPr>
        <w:pStyle w:val="Heading2"/>
      </w:pPr>
      <w:r>
        <w:t>Different institutions</w:t>
      </w:r>
    </w:p>
    <w:p>
      <w:pPr>
        <w:keepNext/>
      </w:pPr>
      <w:r>
        <w:rPr>
          <w:rFonts w:ascii="Arial" w:hAnsi="Arial" w:cs="Arial" w:eastAsia="Arial"/>
        </w:rPr>
        <w:t>The sections do not assume one structure of government. Adjust the vocabulary to fit your institution.</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4320"/>
        <w:gridCol w:w="3168"/>
      </w:tblGrid>
      <w:tr>
        <w:trPr>
          <w:tblHeader w:val="true"/>
          <w:cantSplit w:val="true"/>
        </w:trPr>
        <w:tc>
          <w:tcPr>
            <w:tcW w:type="dxa" w:w="2160"/>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Institution</w:t>
            </w:r>
          </w:p>
        </w:tc>
        <w:tc>
          <w:tcPr>
            <w:tcW w:type="dxa" w:w="4320"/>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Likely focus of sections 6 and 7</w:t>
            </w:r>
          </w:p>
        </w:tc>
        <w:tc>
          <w:tcPr>
            <w:tcW w:type="dxa" w:w="3168"/>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Watch for</w:t>
            </w:r>
          </w:p>
        </w:tc>
      </w:tr>
      <w:tr>
        <w:trPr>
          <w:cantSplit w:val="true"/>
        </w:trPr>
        <w:tc>
          <w:tcPr>
            <w:tcW w:type="dxa" w:w="2160"/>
            <w:tcMar>
              <w:top w:w="45" w:type="dxa"/>
              <w:left w:w="80" w:type="dxa"/>
              <w:bottom w:w="45" w:type="dxa"/>
              <w:right w:w="60" w:type="dxa"/>
            </w:tcMar>
          </w:tcPr>
          <w:p>
            <w:pPr>
              <w:pStyle w:val="IGCell"/>
              <w:keepNext/>
              <w:spacing w:after="0"/>
            </w:pPr>
            <w:r>
              <w:rPr>
                <w:rFonts w:ascii="Arial" w:hAnsi="Arial" w:cs="Arial" w:eastAsia="Arial"/>
                <w:b/>
                <w:color w:val="192E43"/>
                <w:sz w:val="17"/>
              </w:rPr>
              <w:t>Federal agency</w:t>
            </w:r>
          </w:p>
        </w:tc>
        <w:tc>
          <w:tcPr>
            <w:tcW w:type="dxa" w:w="4320"/>
            <w:tcMar>
              <w:top w:w="45" w:type="dxa"/>
              <w:left w:w="80" w:type="dxa"/>
              <w:bottom w:w="45" w:type="dxa"/>
              <w:right w:w="60" w:type="dxa"/>
            </w:tcMar>
          </w:tcPr>
          <w:p>
            <w:pPr>
              <w:pStyle w:val="IGCell"/>
              <w:keepNext/>
              <w:spacing w:after="0"/>
            </w:pPr>
            <w:r>
              <w:rPr>
                <w:rFonts w:ascii="Arial" w:hAnsi="Arial" w:cs="Arial" w:eastAsia="Arial"/>
                <w:color w:val="192E43"/>
                <w:sz w:val="17"/>
              </w:rPr>
              <w:t>State and local governments, Tribal governments, congressional committees, and other agencies.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Statutory consultation and coordination requirements. Confirm with counsel.</w:t>
            </w:r>
          </w:p>
        </w:tc>
      </w:tr>
      <w:tr>
        <w:trPr>
          <w:cantSplit w:val="true"/>
        </w:trPr>
        <w:tc>
          <w:tcPr>
            <w:tcW w:type="dxa" w:w="2160"/>
            <w:tcMar>
              <w:top w:w="45" w:type="dxa"/>
              <w:left w:w="80" w:type="dxa"/>
              <w:bottom w:w="45" w:type="dxa"/>
              <w:right w:w="60" w:type="dxa"/>
            </w:tcMar>
          </w:tcPr>
          <w:p>
            <w:pPr>
              <w:pStyle w:val="IGCell"/>
              <w:keepNext/>
              <w:spacing w:after="0"/>
            </w:pPr>
            <w:r>
              <w:rPr>
                <w:rFonts w:ascii="Arial" w:hAnsi="Arial" w:cs="Arial" w:eastAsia="Arial"/>
                <w:b/>
                <w:color w:val="192E43"/>
                <w:sz w:val="17"/>
              </w:rPr>
              <w:t>State government</w:t>
            </w:r>
          </w:p>
        </w:tc>
        <w:tc>
          <w:tcPr>
            <w:tcW w:type="dxa" w:w="4320"/>
            <w:tcMar>
              <w:top w:w="45" w:type="dxa"/>
              <w:left w:w="80" w:type="dxa"/>
              <w:bottom w:w="45" w:type="dxa"/>
              <w:right w:w="60" w:type="dxa"/>
            </w:tcMar>
          </w:tcPr>
          <w:p>
            <w:pPr>
              <w:pStyle w:val="IGCell"/>
              <w:keepNext/>
              <w:spacing w:after="0"/>
            </w:pPr>
            <w:r>
              <w:rPr>
                <w:rFonts w:ascii="Arial" w:hAnsi="Arial" w:cs="Arial" w:eastAsia="Arial"/>
                <w:color w:val="192E43"/>
                <w:sz w:val="17"/>
              </w:rPr>
              <w:t>Legislature, federal agencies, local governments, Tribal governments, and other states.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Different clocks for the legislature, the governor, and agencies.</w:t>
            </w:r>
          </w:p>
        </w:tc>
      </w:tr>
      <w:tr>
        <w:trPr>
          <w:cantSplit w:val="true"/>
        </w:trPr>
        <w:tc>
          <w:tcPr>
            <w:tcW w:type="dxa" w:w="2160"/>
            <w:tcMar>
              <w:top w:w="45" w:type="dxa"/>
              <w:left w:w="80" w:type="dxa"/>
              <w:bottom w:w="45" w:type="dxa"/>
              <w:right w:w="60" w:type="dxa"/>
            </w:tcMar>
          </w:tcPr>
          <w:p>
            <w:pPr>
              <w:pStyle w:val="IGCell"/>
              <w:keepNext/>
              <w:spacing w:after="0"/>
            </w:pPr>
            <w:r>
              <w:rPr>
                <w:rFonts w:ascii="Arial" w:hAnsi="Arial" w:cs="Arial" w:eastAsia="Arial"/>
                <w:b/>
                <w:color w:val="192E43"/>
                <w:sz w:val="17"/>
              </w:rPr>
              <w:t>Tribal government</w:t>
            </w:r>
          </w:p>
        </w:tc>
        <w:tc>
          <w:tcPr>
            <w:tcW w:type="dxa" w:w="4320"/>
            <w:tcMar>
              <w:top w:w="45" w:type="dxa"/>
              <w:left w:w="80" w:type="dxa"/>
              <w:bottom w:w="45" w:type="dxa"/>
              <w:right w:w="60" w:type="dxa"/>
            </w:tcMar>
          </w:tcPr>
          <w:p>
            <w:pPr>
              <w:pStyle w:val="IGCell"/>
              <w:keepNext/>
              <w:spacing w:after="0"/>
            </w:pPr>
            <w:r>
              <w:rPr>
                <w:rFonts w:ascii="Arial" w:hAnsi="Arial" w:cs="Arial" w:eastAsia="Arial"/>
                <w:color w:val="192E43"/>
                <w:sz w:val="17"/>
              </w:rPr>
              <w:t>Federal agencies, the state, neighboring local governments, and Congress.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Government-to-government protocol runs in both directions. The Nation's own process decides who engages whom.</w:t>
            </w:r>
          </w:p>
        </w:tc>
      </w:tr>
      <w:tr>
        <w:trPr>
          <w:cantSplit w:val="true"/>
        </w:trPr>
        <w:tc>
          <w:tcPr>
            <w:tcW w:type="dxa" w:w="2160"/>
            <w:tcMar>
              <w:top w:w="45" w:type="dxa"/>
              <w:left w:w="80" w:type="dxa"/>
              <w:bottom w:w="45" w:type="dxa"/>
              <w:right w:w="60" w:type="dxa"/>
            </w:tcMar>
          </w:tcPr>
          <w:p>
            <w:pPr>
              <w:pStyle w:val="IGCell"/>
              <w:keepNext/>
              <w:spacing w:after="0"/>
            </w:pPr>
            <w:r>
              <w:rPr>
                <w:rFonts w:ascii="Arial" w:hAnsi="Arial" w:cs="Arial" w:eastAsia="Arial"/>
                <w:b/>
                <w:color w:val="192E43"/>
                <w:sz w:val="17"/>
              </w:rPr>
              <w:t>County or municipality</w:t>
            </w:r>
          </w:p>
        </w:tc>
        <w:tc>
          <w:tcPr>
            <w:tcW w:type="dxa" w:w="4320"/>
            <w:tcMar>
              <w:top w:w="45" w:type="dxa"/>
              <w:left w:w="80" w:type="dxa"/>
              <w:bottom w:w="45" w:type="dxa"/>
              <w:right w:w="60" w:type="dxa"/>
            </w:tcMar>
          </w:tcPr>
          <w:p>
            <w:pPr>
              <w:pStyle w:val="IGCell"/>
              <w:keepNext/>
              <w:spacing w:after="0"/>
            </w:pPr>
            <w:r>
              <w:rPr>
                <w:rFonts w:ascii="Arial" w:hAnsi="Arial" w:cs="Arial" w:eastAsia="Arial"/>
                <w:color w:val="192E43"/>
                <w:sz w:val="17"/>
              </w:rPr>
              <w:t>State legislature and agencies, federal funders, neighboring governments, regional bodies, and Tribal governments.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Dependence on partners for shared infrastructure. Fixed state calendars.</w:t>
            </w:r>
          </w:p>
        </w:tc>
      </w:tr>
      <w:tr>
        <w:trPr>
          <w:cantSplit w:val="true"/>
        </w:trPr>
        <w:tc>
          <w:tcPr>
            <w:tcW w:type="dxa" w:w="2160"/>
            <w:tcMar>
              <w:top w:w="45" w:type="dxa"/>
              <w:left w:w="80" w:type="dxa"/>
              <w:bottom w:w="45" w:type="dxa"/>
              <w:right w:w="60" w:type="dxa"/>
            </w:tcMar>
          </w:tcPr>
          <w:p>
            <w:pPr>
              <w:pStyle w:val="IGCell"/>
              <w:spacing w:after="0"/>
            </w:pPr>
            <w:r>
              <w:rPr>
                <w:rFonts w:ascii="Arial" w:hAnsi="Arial" w:cs="Arial" w:eastAsia="Arial"/>
                <w:b/>
                <w:color w:val="192E43"/>
                <w:sz w:val="17"/>
              </w:rPr>
              <w:t>Regional authority or district</w:t>
            </w:r>
          </w:p>
        </w:tc>
        <w:tc>
          <w:tcPr>
            <w:tcW w:type="dxa" w:w="4320"/>
            <w:tcMar>
              <w:top w:w="45" w:type="dxa"/>
              <w:left w:w="80" w:type="dxa"/>
              <w:bottom w:w="45" w:type="dxa"/>
              <w:right w:w="60" w:type="dxa"/>
            </w:tcMar>
          </w:tcPr>
          <w:p>
            <w:pPr>
              <w:pStyle w:val="IGCell"/>
              <w:spacing w:after="0"/>
            </w:pPr>
            <w:r>
              <w:rPr>
                <w:rFonts w:ascii="Arial" w:hAnsi="Arial" w:cs="Arial" w:eastAsia="Arial"/>
                <w:color w:val="192E43"/>
                <w:sz w:val="17"/>
              </w:rPr>
              <w:t>Member governments, the state, and federal funders.</w:t>
            </w:r>
          </w:p>
        </w:tc>
        <w:tc>
          <w:tcPr>
            <w:tcW w:type="dxa" w:w="3168"/>
            <w:tcMar>
              <w:top w:w="45" w:type="dxa"/>
              <w:left w:w="80" w:type="dxa"/>
              <w:bottom w:w="45" w:type="dxa"/>
              <w:right w:w="60" w:type="dxa"/>
            </w:tcMar>
          </w:tcPr>
          <w:p>
            <w:pPr>
              <w:pStyle w:val="IGCell"/>
              <w:spacing w:after="0"/>
            </w:pPr>
            <w:r>
              <w:rPr>
                <w:rFonts w:ascii="Arial" w:hAnsi="Arial" w:cs="Arial" w:eastAsia="Arial"/>
                <w:color w:val="192E43"/>
                <w:sz w:val="17"/>
              </w:rPr>
              <w:t>Member interests that diverge. Governance approvals that set your schedule.</w:t>
            </w:r>
          </w:p>
        </w:tc>
      </w:tr>
    </w:tbl>
    <w:p>
      <w:pPr>
        <w:spacing w:after="80" w:line="144" w:lineRule="auto"/>
      </w:pPr>
    </w:p>
    <w:p>
      <w:pPr>
        <w:pStyle w:val="Heading1"/>
      </w:pPr>
      <w:r>
        <w:t>Before You Send the Plan to Leadership</w:t>
      </w:r>
    </w:p>
    <w:p>
      <w:pPr>
        <w:pStyle w:val="ListBullet"/>
        <w:keepLines/>
        <w:spacing w:after="60"/>
      </w:pPr>
      <w:r>
        <w:rPr>
          <w:rFonts w:ascii="Arial" w:hAnsi="Arial" w:cs="Arial" w:eastAsia="Arial"/>
          <w:sz w:val="20"/>
        </w:rPr>
        <w:t>Every objective has one lead, a date, and a result someone outside the office could verify.</w:t>
      </w:r>
    </w:p>
    <w:p>
      <w:pPr>
        <w:pStyle w:val="ListBullet"/>
        <w:keepLines/>
        <w:spacing w:after="60"/>
      </w:pPr>
      <w:r>
        <w:rPr>
          <w:rFonts w:ascii="Arial" w:hAnsi="Arial" w:cs="Arial" w:eastAsia="Arial"/>
          <w:sz w:val="20"/>
        </w:rPr>
        <w:t>Every executive priority cites a dated leadership document or is labeled an office priority.</w:t>
      </w:r>
    </w:p>
    <w:p>
      <w:pPr>
        <w:pStyle w:val="ListBullet"/>
        <w:keepLines/>
        <w:spacing w:after="60"/>
      </w:pPr>
      <w:r>
        <w:rPr>
          <w:rFonts w:ascii="Arial" w:hAnsi="Arial" w:cs="Arial" w:eastAsia="Arial"/>
          <w:sz w:val="20"/>
        </w:rPr>
        <w:t>Every open legislative or administrative item has a cleared position, or is marked Undecided with a decision date.</w:t>
      </w:r>
    </w:p>
    <w:p>
      <w:pPr>
        <w:pStyle w:val="ListBullet"/>
        <w:keepLines/>
        <w:spacing w:after="60"/>
      </w:pPr>
      <w:r>
        <w:rPr>
          <w:rFonts w:ascii="Arial" w:hAnsi="Arial" w:cs="Arial" w:eastAsia="Arial"/>
          <w:sz w:val="20"/>
        </w:rPr>
        <w:t>Every Tier 1 relationship has one owner, a cadence, and a written statement of what each side needs.</w:t>
      </w:r>
    </w:p>
    <w:p>
      <w:pPr>
        <w:pStyle w:val="ListBullet"/>
        <w:keepLines/>
        <w:spacing w:after="60"/>
      </w:pPr>
      <w:r>
        <w:rPr>
          <w:rFonts w:ascii="Arial" w:hAnsi="Arial" w:cs="Arial" w:eastAsia="Arial"/>
          <w:sz w:val="20"/>
        </w:rPr>
        <w:t>Every fixed external date appears in the calendar and as a milestone.</w:t>
      </w:r>
    </w:p>
    <w:p>
      <w:pPr>
        <w:pStyle w:val="ListBullet"/>
        <w:keepLines/>
        <w:spacing w:after="60"/>
      </w:pPr>
      <w:r>
        <w:rPr>
          <w:rFonts w:ascii="Arial" w:hAnsi="Arial" w:cs="Arial" w:eastAsia="Arial"/>
          <w:sz w:val="20"/>
        </w:rPr>
        <w:t>Every high risk has an owner, an early warning indicator, and a mitigation. The sponsor has agreed the escalation triggers.</w:t>
      </w:r>
    </w:p>
    <w:p>
      <w:pPr>
        <w:pStyle w:val="ListBullet"/>
        <w:keepLines/>
        <w:spacing w:after="60"/>
      </w:pPr>
      <w:r>
        <w:rPr>
          <w:rFonts w:ascii="Arial" w:hAnsi="Arial" w:cs="Arial" w:eastAsia="Arial"/>
          <w:sz w:val="20"/>
        </w:rPr>
        <w:t>The decision list has been reviewed with the executive sponsor, and each decision has a date. The tracker is loaded, the report date is set, and the dashboard data checks are clear or explained.</w:t>
      </w:r>
    </w:p>
    <w:sectPr w:rsidR="00FC693F" w:rsidRPr="0006063C" w:rsidSect="00034616">
      <w:headerReference w:type="default" r:id="rId10"/>
      <w:footerReference w:type="default" r:id="rId11"/>
      <w:headerReference w:type="first" r:id="rId12"/>
      <w:footerReference w:type="first" r:id="rId13"/>
      <w:pgSz w:w="12240" w:h="15840"/>
      <w:pgMar w:top="1368" w:right="1296" w:bottom="1224" w:left="1296"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5DAE0"/>
      </w:pBdr>
      <w:tabs>
        <w:tab w:pos="9648" w:val="right"/>
      </w:tabs>
    </w:pPr>
    <w:r>
      <w:rPr>
        <w:rFonts w:ascii="Arial" w:hAnsi="Arial" w:cs="Arial" w:eastAsia="Arial"/>
        <w:color w:val="52606D"/>
        <w:sz w:val="16"/>
      </w:rPr>
      <w:t>Intergov Association | Professional Resource Library</w:t>
      <w:tab/>
      <w:t xml:space="preserve">Page </w:t>
    </w:r>
    <w:r>
      <w:rPr>
        <w:rFonts w:ascii="Arial" w:hAnsi="Arial" w:cs="Arial" w:eastAsia="Arial"/>
        <w:color w:val="52606D"/>
        <w:sz w:val="16"/>
      </w:rPr>
      <w:fldChar w:fldCharType="begin"/>
      <w:instrText xml:space="preserve"> PAGE </w:instrText>
      <w:fldChar w:fldCharType="separate"/>
      <w:t>1</w:t>
      <w:fldChar w:fldCharType="end"/>
    </w:r>
    <w:r>
      <w:rPr>
        <w:rFonts w:ascii="Arial" w:hAnsi="Arial" w:cs="Arial" w:eastAsia="Arial"/>
        <w:color w:val="52606D"/>
        <w:sz w:val="16"/>
      </w:rPr>
      <w:t xml:space="preserve"> of </w:t>
    </w:r>
    <w:r>
      <w:rPr>
        <w:rFonts w:ascii="Arial" w:hAnsi="Arial" w:cs="Arial" w:eastAsia="Arial"/>
        <w:color w:val="52606D"/>
        <w:sz w:val="16"/>
      </w:rPr>
      <w:fldChar w:fldCharType="begin"/>
      <w:instrText xml:space="preserve"> NUMPAGES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D5DAE0"/>
      </w:pBdr>
      <w:tabs>
        <w:tab w:pos="9648" w:val="right"/>
      </w:tabs>
      <w:spacing w:after="0"/>
    </w:pPr>
    <w:r>
      <w:drawing>
        <wp:inline xmlns:a="http://schemas.openxmlformats.org/drawingml/2006/main" xmlns:pic="http://schemas.openxmlformats.org/drawingml/2006/picture">
          <wp:extent cx="1051560" cy="303152"/>
          <wp:docPr id="1" name="Picture 1"/>
          <wp:cNvGraphicFramePr>
            <a:graphicFrameLocks noChangeAspect="1"/>
          </wp:cNvGraphicFramePr>
          <a:graphic>
            <a:graphicData uri="http://schemas.openxmlformats.org/drawingml/2006/picture">
              <pic:pic>
                <pic:nvPicPr>
                  <pic:cNvPr id="0" name="logo_core.png"/>
                  <pic:cNvPicPr/>
                </pic:nvPicPr>
                <pic:blipFill>
                  <a:blip r:embed="rId1"/>
                  <a:stretch>
                    <a:fillRect/>
                  </a:stretch>
                </pic:blipFill>
                <pic:spPr>
                  <a:xfrm>
                    <a:off x="0" y="0"/>
                    <a:ext cx="1051560" cy="303152"/>
                  </a:xfrm>
                  <a:prstGeom prst="rect"/>
                </pic:spPr>
              </pic:pic>
            </a:graphicData>
          </a:graphic>
        </wp:inline>
      </w:drawing>
    </w:r>
    <w:r>
      <w:rPr>
        <w:rFonts w:ascii="Arial" w:hAnsi="Arial" w:cs="Arial" w:eastAsia="Arial"/>
        <w:b w:val="0"/>
        <w:color w:val="52606D"/>
        <w:sz w:val="16"/>
      </w:rPr>
      <w:tab/>
      <w:t>Strategic Planning Practitioner Guide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69" w:lineRule="auto"/>
    </w:pPr>
    <w:rPr>
      <w:rFonts w:ascii="Arial" w:hAnsi="Arial" w:cs="Arial" w:eastAsia="Arial"/>
      <w:b w:val="0"/>
      <w:i w:val="0"/>
      <w:color w:val="192E43"/>
      <w:sz w:val="20"/>
    </w:rPr>
  </w:style>
  <w:style w:type="paragraph" w:styleId="Header">
    <w:name w:val="header"/>
    <w:basedOn w:val="Normal"/>
    <w:link w:val="HeaderChar"/>
    <w:uiPriority w:val="99"/>
    <w:unhideWhenUsed/>
    <w:rsid w:val="00E618BF"/>
    <w:pPr>
      <w:spacing w:after="0" w:line="240" w:lineRule="auto"/>
    </w:pPr>
    <w:rPr>
      <w:rFonts w:ascii="Arial" w:hAnsi="Arial" w:cs="Arial" w:eastAsia="Arial"/>
      <w:b w:val="0"/>
      <w:i w:val="0"/>
      <w:color w:val="52606D"/>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b w:val="0"/>
      <w:i w:val="0"/>
      <w:color w:val="52606D"/>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192E43"/>
      </w:pBdr>
      <w:spacing w:before="360" w:after="120" w:line="240" w:lineRule="auto"/>
      <w:outlineLvl w:val="0"/>
    </w:pPr>
    <w:rPr>
      <w:rFonts w:ascii="Arial" w:hAnsi="Arial" w:cs="Arial" w:eastAsia="Arial"/>
      <w:b/>
      <w:bCs/>
      <w:i w:val="0"/>
      <w:color w:val="192E43"/>
      <w:sz w:val="30"/>
      <w:szCs w:val="28"/>
    </w:rPr>
  </w:style>
  <w:style w:type="paragraph" w:styleId="Heading2">
    <w:name w:val="heading 2"/>
    <w:basedOn w:val="Normal"/>
    <w:next w:val="Normal"/>
    <w:link w:val="Heading2Char"/>
    <w:uiPriority w:val="9"/>
    <w:unhideWhenUsed/>
    <w:qFormat/>
    <w:rsid w:val="00FC693F"/>
    <w:pPr>
      <w:keepNext/>
      <w:keepLines/>
      <w:spacing w:before="240" w:after="80" w:line="240" w:lineRule="auto"/>
      <w:outlineLvl w:val="1"/>
    </w:pPr>
    <w:rPr>
      <w:rFonts w:ascii="Arial" w:hAnsi="Arial" w:cs="Arial" w:eastAsia="Arial"/>
      <w:b/>
      <w:bCs/>
      <w:i w:val="0"/>
      <w:color w:val="192E43"/>
      <w:sz w:val="23"/>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Arial" w:hAnsi="Arial" w:cs="Arial" w:eastAsia="Arial"/>
      <w:b/>
      <w:bCs/>
      <w:i w:val="0"/>
      <w:color w:val="52606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92E4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GPurpose">
    <w:name w:val="IG Purpose"/>
    <w:basedOn w:val="Normal"/>
    <w:pPr>
      <w:spacing w:after="120" w:line="252" w:lineRule="auto"/>
    </w:pPr>
    <w:rPr>
      <w:rFonts w:ascii="Arial" w:hAnsi="Arial" w:cs="Arial" w:eastAsia="Arial"/>
      <w:b w:val="0"/>
      <w:i w:val="0"/>
      <w:color w:val="52606D"/>
      <w:sz w:val="20"/>
    </w:rPr>
  </w:style>
  <w:style w:type="paragraph" w:customStyle="1" w:styleId="IGSmall">
    <w:name w:val="IG Small"/>
    <w:basedOn w:val="Normal"/>
    <w:pPr>
      <w:spacing w:after="120" w:line="252" w:lineRule="auto"/>
    </w:pPr>
    <w:rPr>
      <w:rFonts w:ascii="Arial" w:hAnsi="Arial" w:cs="Arial" w:eastAsia="Arial"/>
      <w:b w:val="0"/>
      <w:i w:val="0"/>
      <w:color w:val="52606D"/>
      <w:sz w:val="17"/>
    </w:rPr>
  </w:style>
  <w:style w:type="paragraph" w:customStyle="1" w:styleId="IGCell">
    <w:name w:val="IG Cell"/>
    <w:basedOn w:val="Normal"/>
    <w:pPr>
      <w:spacing w:after="40" w:line="252" w:lineRule="auto"/>
    </w:pPr>
    <w:rPr>
      <w:rFonts w:ascii="Arial" w:hAnsi="Arial" w:cs="Arial" w:eastAsia="Arial"/>
      <w:b w:val="0"/>
      <w:i w:val="0"/>
      <w:color w:val="192E43"/>
      <w:sz w:val="18"/>
    </w:rPr>
  </w:style>
  <w:style w:type="paragraph" w:customStyle="1" w:styleId="IGCellHead">
    <w:name w:val="IG Cell Head"/>
    <w:basedOn w:val="Normal"/>
    <w:pPr>
      <w:spacing w:after="40" w:line="252" w:lineRule="auto"/>
    </w:pPr>
    <w:rPr>
      <w:rFonts w:ascii="Arial" w:hAnsi="Arial" w:cs="Arial" w:eastAsia="Arial"/>
      <w:b/>
      <w:i w:val="0"/>
      <w:color w:val="FFFFFF"/>
      <w:sz w:val="17"/>
    </w:rPr>
  </w:style>
  <w:style w:type="paragraph" w:customStyle="1" w:styleId="IGLabel">
    <w:name w:val="IG Label"/>
    <w:basedOn w:val="Normal"/>
    <w:pPr>
      <w:spacing w:after="40" w:line="252" w:lineRule="auto"/>
    </w:pPr>
    <w:rPr>
      <w:rFonts w:ascii="Arial" w:hAnsi="Arial" w:cs="Arial" w:eastAsia="Arial"/>
      <w:b/>
      <w:i w:val="0"/>
      <w:color w:val="192E43"/>
      <w:sz w:val="17"/>
    </w:rPr>
  </w:style>
  <w:style w:type="character" w:customStyle="1" w:styleId="PlaceholderText">
    <w:name w:val="Placeholder Text"/>
    <w:rPr>
      <w:i/>
      <w:color w:val="6B778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Planning for Intergovernmental Affairs: Practitioner Guide</dc:title>
  <dc:subject>Intergov Association Resource Library</dc:subject>
  <dc:creator>Intergov Association</dc:creator>
  <cp:keywords/>
  <dc:description>Version 1.0, October 2026</dc:description>
  <cp:lastModifiedBy/>
  <cp:revision>1</cp:revision>
  <dcterms:created xsi:type="dcterms:W3CDTF">2013-12-23T23:15:00Z</dcterms:created>
  <dcterms:modified xsi:type="dcterms:W3CDTF">2013-12-23T23:15:00Z</dcterms:modified>
  <cp:category/>
</cp:coreProperties>
</file>